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4B805" w14:textId="77777777" w:rsidR="00442A8B" w:rsidRPr="00A00CBE" w:rsidRDefault="00442A8B" w:rsidP="00442A8B">
      <w:pPr>
        <w:jc w:val="center"/>
        <w:rPr>
          <w:rFonts w:ascii="Arial" w:hAnsi="Arial" w:cs="Arial"/>
          <w:b/>
          <w:bCs/>
        </w:rPr>
      </w:pPr>
      <w:r w:rsidRPr="00A00CBE">
        <w:rPr>
          <w:rFonts w:ascii="Arial" w:hAnsi="Arial" w:cs="Arial"/>
          <w:b/>
          <w:bCs/>
        </w:rPr>
        <w:t>Research Proposal</w:t>
      </w:r>
    </w:p>
    <w:p w14:paraId="7E648728" w14:textId="77777777" w:rsidR="00442A8B" w:rsidRPr="00A00CBE" w:rsidRDefault="00442A8B" w:rsidP="00442A8B">
      <w:pPr>
        <w:rPr>
          <w:rFonts w:ascii="Arial" w:hAnsi="Arial" w:cs="Arial"/>
          <w:b/>
          <w:bCs/>
        </w:rPr>
      </w:pPr>
      <w:r w:rsidRPr="00A00CBE">
        <w:rPr>
          <w:rFonts w:ascii="Arial" w:hAnsi="Arial" w:cs="Arial"/>
          <w:b/>
          <w:bCs/>
        </w:rPr>
        <w:t>Project Title</w:t>
      </w:r>
    </w:p>
    <w:p w14:paraId="1BF546DC" w14:textId="07D23170" w:rsidR="00244E94" w:rsidRDefault="00244E94" w:rsidP="00442A8B">
      <w:pPr>
        <w:rPr>
          <w:rFonts w:ascii="Arial" w:hAnsi="Arial" w:cs="Arial"/>
        </w:rPr>
      </w:pPr>
      <w:r w:rsidRPr="00244E94">
        <w:rPr>
          <w:rFonts w:ascii="Arial" w:hAnsi="Arial" w:cs="Arial"/>
        </w:rPr>
        <w:t xml:space="preserve">Identifying Prognostic and Predictive Factors for Causal Dose-Response Analysis of Daratumumab in Multiple Myeloma </w:t>
      </w:r>
    </w:p>
    <w:p w14:paraId="3BA179BC" w14:textId="77777777" w:rsidR="004C715E" w:rsidRDefault="004C715E" w:rsidP="00442A8B">
      <w:pPr>
        <w:rPr>
          <w:rFonts w:ascii="Arial" w:hAnsi="Arial" w:cs="Arial"/>
          <w:b/>
          <w:bCs/>
        </w:rPr>
      </w:pPr>
    </w:p>
    <w:p w14:paraId="283B29A6" w14:textId="66E35E31" w:rsidR="00442A8B" w:rsidRPr="007008C3" w:rsidRDefault="00442A8B" w:rsidP="00442A8B">
      <w:pPr>
        <w:rPr>
          <w:rFonts w:ascii="Arial" w:hAnsi="Arial" w:cs="Arial"/>
          <w:b/>
          <w:bCs/>
        </w:rPr>
      </w:pPr>
      <w:r w:rsidRPr="007008C3">
        <w:rPr>
          <w:rFonts w:ascii="Arial" w:hAnsi="Arial" w:cs="Arial"/>
          <w:b/>
          <w:bCs/>
        </w:rPr>
        <w:t>Scientific Abstract</w:t>
      </w:r>
    </w:p>
    <w:p w14:paraId="1D1AFCAE" w14:textId="1156362C" w:rsidR="00A24B38" w:rsidRDefault="005A274B" w:rsidP="00641F01">
      <w:pPr>
        <w:rPr>
          <w:rFonts w:ascii="Arial" w:hAnsi="Arial" w:cs="Arial"/>
        </w:rPr>
      </w:pPr>
      <w:r w:rsidRPr="005A274B">
        <w:rPr>
          <w:rFonts w:ascii="Arial" w:hAnsi="Arial" w:cs="Arial"/>
        </w:rPr>
        <w:t xml:space="preserve">Dose optimization has become a pivotal component of oncology drug development. </w:t>
      </w:r>
      <w:r w:rsidR="00CD5AFA">
        <w:rPr>
          <w:rFonts w:ascii="Arial" w:hAnsi="Arial" w:cs="Arial"/>
        </w:rPr>
        <w:t xml:space="preserve">In clinical trials, </w:t>
      </w:r>
      <w:r w:rsidR="00377086">
        <w:rPr>
          <w:rFonts w:ascii="Arial" w:hAnsi="Arial" w:cs="Arial"/>
        </w:rPr>
        <w:t>Dose-Response</w:t>
      </w:r>
      <w:r w:rsidR="00B35FDA">
        <w:rPr>
          <w:rFonts w:ascii="Arial" w:hAnsi="Arial" w:cs="Arial"/>
        </w:rPr>
        <w:t xml:space="preserve"> (D-R)</w:t>
      </w:r>
      <w:r w:rsidR="00377086">
        <w:rPr>
          <w:rFonts w:ascii="Arial" w:hAnsi="Arial" w:cs="Arial"/>
        </w:rPr>
        <w:t xml:space="preserve"> </w:t>
      </w:r>
      <w:r w:rsidR="00E7115E">
        <w:rPr>
          <w:rFonts w:ascii="Arial" w:hAnsi="Arial" w:cs="Arial"/>
        </w:rPr>
        <w:t>analyses serve as a</w:t>
      </w:r>
      <w:r w:rsidR="00267E77">
        <w:rPr>
          <w:rFonts w:ascii="Arial" w:hAnsi="Arial" w:cs="Arial"/>
        </w:rPr>
        <w:t>n</w:t>
      </w:r>
      <w:r w:rsidR="00E7115E">
        <w:rPr>
          <w:rFonts w:ascii="Arial" w:hAnsi="Arial" w:cs="Arial"/>
        </w:rPr>
        <w:t xml:space="preserve"> essential </w:t>
      </w:r>
      <w:r w:rsidR="00267E77">
        <w:rPr>
          <w:rFonts w:ascii="Arial" w:hAnsi="Arial" w:cs="Arial"/>
        </w:rPr>
        <w:t>step to</w:t>
      </w:r>
      <w:r w:rsidR="00B1669D">
        <w:rPr>
          <w:rFonts w:ascii="Arial" w:hAnsi="Arial" w:cs="Arial"/>
        </w:rPr>
        <w:t xml:space="preserve"> support dose selection. </w:t>
      </w:r>
      <w:r w:rsidRPr="005A274B">
        <w:rPr>
          <w:rFonts w:ascii="Arial" w:hAnsi="Arial" w:cs="Arial"/>
        </w:rPr>
        <w:t xml:space="preserve">Nevertheless, </w:t>
      </w:r>
      <w:r w:rsidR="00545696">
        <w:rPr>
          <w:rFonts w:ascii="Arial" w:hAnsi="Arial" w:cs="Arial"/>
        </w:rPr>
        <w:t xml:space="preserve">it’s challenging to </w:t>
      </w:r>
      <w:r w:rsidR="00E133D9">
        <w:rPr>
          <w:rFonts w:ascii="Arial" w:hAnsi="Arial" w:cs="Arial"/>
        </w:rPr>
        <w:t xml:space="preserve">derive a causal D-R relationship </w:t>
      </w:r>
      <w:r w:rsidRPr="005A274B">
        <w:rPr>
          <w:rFonts w:ascii="Arial" w:hAnsi="Arial" w:cs="Arial"/>
        </w:rPr>
        <w:t>due to the presence of heterogeneous treatment effects (HTE)</w:t>
      </w:r>
      <w:r w:rsidR="00D623D2">
        <w:rPr>
          <w:rFonts w:ascii="Arial" w:hAnsi="Arial" w:cs="Arial"/>
        </w:rPr>
        <w:fldChar w:fldCharType="begin"/>
      </w:r>
      <w:r w:rsidR="005A0A53">
        <w:rPr>
          <w:rFonts w:ascii="Arial" w:hAnsi="Arial" w:cs="Arial"/>
        </w:rPr>
        <w:instrText xml:space="preserve"> ADDIN ZOTERO_ITEM CSL_CITATION {"citationID":"pzxhCKYe","properties":{"formattedCitation":"\\super 1\\nosupersub{}","plainCitation":"1","noteIndex":0},"citationItems":[{"id":5517,"uris":["http://zotero.org/users/9693191/items/MYIKZYWB"],"itemData":{"id":5517,"type":"article-journal","abstract":"Heterogeneous treatment effect (HTE) analysis focuses on examining varying treatment effects for individuals or subgroups in a population. For example, an HTE-informed understanding can critically guide physicians to individualize the medical treatment for a certain disease. However, HTE analysis has not been widely recognized and used, even given the explosive increase of data availability attributed to the arrival of the Big Data era. Part of the reason behind its underuse is that data are often of high dimension and high complexity, which pose significant challenges for applying conventional HTE analysis methods. To meet these challenges, a newly developed causal forest HTE method has been derived from the random forest machine-learning algorithm. We conducted a systematic performance evaluation for the causal forest method against the conventional two-step method by simulating scenarios with different levels of complexity for the analysis. Our results show that causal forest outperforms the conventional HTE method in assessing treatment effect, especially when data are complex (e.g., nonlinear) and high dimensional, suggesting that causal forest is a promising tool for real-world applications of HTE analysis.","container-title":"CPT: Pharmacometrics &amp; Systems Pharmacology","DOI":"10.1002/psp4.12715","ISSN":"2163-8306","issue":"11","language":"en","license":"© 2021 The Authors. CPT: Pharmacometrics &amp; Systems Pharmacology published by Wiley Periodicals LLC on behalf of American Society for Clinical Pharmacology and Therapeutics","note":"_eprint: https://onlinelibrary.wiley.com/doi/pdf/10.1002/psp4.12715","page":"1433-1443","source":"Wiley Online Library","title":"Heterogeneous treatment effect analysis based on machine-learning methodology","volume":"10","author":[{"family":"Gong","given":"Xiajing"},{"family":"Hu","given":"Meng"},{"family":"Basu","given":"Mahashweta"},{"family":"Zhao","given":"Liang"}],"issued":{"date-parts":[["2021"]]},"citation-key":"gongHeterogeneousTreatmentEffect2021"}}],"schema":"https://github.com/citation-style-language/schema/raw/master/csl-citation.json"} </w:instrText>
      </w:r>
      <w:r w:rsidR="00D623D2">
        <w:rPr>
          <w:rFonts w:ascii="Arial" w:hAnsi="Arial" w:cs="Arial"/>
        </w:rPr>
        <w:fldChar w:fldCharType="separate"/>
      </w:r>
      <w:r w:rsidR="005A0A53" w:rsidRPr="005A0A53">
        <w:rPr>
          <w:rFonts w:ascii="Arial" w:hAnsi="Arial" w:cs="Arial"/>
          <w:kern w:val="0"/>
          <w:szCs w:val="24"/>
          <w:vertAlign w:val="superscript"/>
        </w:rPr>
        <w:t>1</w:t>
      </w:r>
      <w:r w:rsidR="00D623D2">
        <w:rPr>
          <w:rFonts w:ascii="Arial" w:hAnsi="Arial" w:cs="Arial"/>
        </w:rPr>
        <w:fldChar w:fldCharType="end"/>
      </w:r>
      <w:r w:rsidR="007B13F5">
        <w:rPr>
          <w:rFonts w:ascii="Arial" w:hAnsi="Arial" w:cs="Arial"/>
        </w:rPr>
        <w:t xml:space="preserve">. </w:t>
      </w:r>
      <w:r w:rsidR="00DE4CC4">
        <w:rPr>
          <w:rFonts w:ascii="Arial" w:hAnsi="Arial" w:cs="Arial"/>
        </w:rPr>
        <w:t xml:space="preserve"> </w:t>
      </w:r>
      <w:r w:rsidR="00A00860">
        <w:rPr>
          <w:rFonts w:ascii="Arial" w:hAnsi="Arial" w:cs="Arial"/>
        </w:rPr>
        <w:t xml:space="preserve">To </w:t>
      </w:r>
      <w:r w:rsidR="00F449ED">
        <w:rPr>
          <w:rFonts w:ascii="Arial" w:hAnsi="Arial" w:cs="Arial"/>
        </w:rPr>
        <w:t>achieve</w:t>
      </w:r>
      <w:r w:rsidRPr="005A274B">
        <w:rPr>
          <w:rFonts w:ascii="Arial" w:hAnsi="Arial" w:cs="Arial"/>
        </w:rPr>
        <w:t xml:space="preserve"> a </w:t>
      </w:r>
      <w:r w:rsidR="00F8779E">
        <w:rPr>
          <w:rFonts w:ascii="Arial" w:hAnsi="Arial" w:cs="Arial"/>
        </w:rPr>
        <w:t>better</w:t>
      </w:r>
      <w:r w:rsidR="00F8779E" w:rsidRPr="005A274B">
        <w:rPr>
          <w:rFonts w:ascii="Arial" w:hAnsi="Arial" w:cs="Arial"/>
        </w:rPr>
        <w:t xml:space="preserve"> </w:t>
      </w:r>
      <w:r w:rsidRPr="005A274B">
        <w:rPr>
          <w:rFonts w:ascii="Arial" w:hAnsi="Arial" w:cs="Arial"/>
        </w:rPr>
        <w:t xml:space="preserve">understanding of </w:t>
      </w:r>
      <w:r w:rsidR="00F8779E">
        <w:rPr>
          <w:rFonts w:ascii="Arial" w:hAnsi="Arial" w:cs="Arial"/>
        </w:rPr>
        <w:t xml:space="preserve">causal </w:t>
      </w:r>
      <w:r w:rsidRPr="005A274B">
        <w:rPr>
          <w:rFonts w:ascii="Arial" w:hAnsi="Arial" w:cs="Arial"/>
        </w:rPr>
        <w:t>D</w:t>
      </w:r>
      <w:r w:rsidR="008D4F76">
        <w:rPr>
          <w:rFonts w:ascii="Arial" w:hAnsi="Arial" w:cs="Arial"/>
        </w:rPr>
        <w:t>-</w:t>
      </w:r>
      <w:r w:rsidRPr="005A274B">
        <w:rPr>
          <w:rFonts w:ascii="Arial" w:hAnsi="Arial" w:cs="Arial"/>
        </w:rPr>
        <w:t>R relationships</w:t>
      </w:r>
      <w:r w:rsidR="00A00860">
        <w:rPr>
          <w:rFonts w:ascii="Arial" w:hAnsi="Arial" w:cs="Arial"/>
        </w:rPr>
        <w:t xml:space="preserve">, it’s important to </w:t>
      </w:r>
      <w:r w:rsidR="00C576EE">
        <w:rPr>
          <w:rFonts w:ascii="Arial" w:hAnsi="Arial" w:cs="Arial"/>
        </w:rPr>
        <w:t>i</w:t>
      </w:r>
      <w:r w:rsidR="00A00860" w:rsidRPr="005A274B">
        <w:rPr>
          <w:rFonts w:ascii="Arial" w:hAnsi="Arial" w:cs="Arial"/>
        </w:rPr>
        <w:t xml:space="preserve">dentify </w:t>
      </w:r>
      <w:r w:rsidR="00C65233">
        <w:rPr>
          <w:rFonts w:ascii="Arial" w:hAnsi="Arial" w:cs="Arial"/>
        </w:rPr>
        <w:t>the</w:t>
      </w:r>
      <w:r w:rsidR="005E60F7">
        <w:rPr>
          <w:rFonts w:ascii="Arial" w:hAnsi="Arial" w:cs="Arial"/>
        </w:rPr>
        <w:t xml:space="preserve"> confounding</w:t>
      </w:r>
      <w:r w:rsidR="00A00860" w:rsidRPr="005A274B">
        <w:rPr>
          <w:rFonts w:ascii="Arial" w:hAnsi="Arial" w:cs="Arial"/>
        </w:rPr>
        <w:t xml:space="preserve"> factors</w:t>
      </w:r>
      <w:r w:rsidR="00EE26D3">
        <w:rPr>
          <w:rFonts w:ascii="Arial" w:hAnsi="Arial" w:cs="Arial"/>
        </w:rPr>
        <w:t>, including prognostic and predictive factors,</w:t>
      </w:r>
      <w:r w:rsidR="00A00860" w:rsidRPr="005A274B">
        <w:rPr>
          <w:rFonts w:ascii="Arial" w:hAnsi="Arial" w:cs="Arial"/>
        </w:rPr>
        <w:t xml:space="preserve"> </w:t>
      </w:r>
      <w:r w:rsidR="00A721E2">
        <w:rPr>
          <w:rFonts w:ascii="Arial" w:hAnsi="Arial" w:cs="Arial"/>
        </w:rPr>
        <w:t xml:space="preserve">that </w:t>
      </w:r>
      <w:r w:rsidR="00FE14CA">
        <w:rPr>
          <w:rFonts w:ascii="Arial" w:hAnsi="Arial" w:cs="Arial"/>
        </w:rPr>
        <w:t>affect</w:t>
      </w:r>
      <w:r w:rsidR="00FF7CAA">
        <w:rPr>
          <w:rFonts w:ascii="Arial" w:hAnsi="Arial" w:cs="Arial"/>
        </w:rPr>
        <w:t xml:space="preserve"> </w:t>
      </w:r>
      <w:r w:rsidR="00AA66B6">
        <w:rPr>
          <w:rFonts w:ascii="Arial" w:hAnsi="Arial" w:cs="Arial"/>
        </w:rPr>
        <w:t xml:space="preserve">patient </w:t>
      </w:r>
      <w:r w:rsidR="006E6694">
        <w:rPr>
          <w:rFonts w:ascii="Arial" w:hAnsi="Arial" w:cs="Arial"/>
        </w:rPr>
        <w:t>health</w:t>
      </w:r>
      <w:r w:rsidR="0093004E">
        <w:rPr>
          <w:rFonts w:ascii="Arial" w:hAnsi="Arial" w:cs="Arial"/>
        </w:rPr>
        <w:t xml:space="preserve"> outcomes</w:t>
      </w:r>
      <w:r w:rsidR="006E6694">
        <w:rPr>
          <w:rFonts w:ascii="Arial" w:hAnsi="Arial" w:cs="Arial"/>
        </w:rPr>
        <w:t xml:space="preserve"> and to quantify their effects on D-R relationships</w:t>
      </w:r>
      <w:r w:rsidRPr="005A274B">
        <w:rPr>
          <w:rFonts w:ascii="Arial" w:hAnsi="Arial" w:cs="Arial"/>
        </w:rPr>
        <w:t>.</w:t>
      </w:r>
      <w:r>
        <w:rPr>
          <w:rFonts w:ascii="Arial" w:hAnsi="Arial" w:cs="Arial"/>
        </w:rPr>
        <w:t xml:space="preserve"> </w:t>
      </w:r>
      <w:r w:rsidR="006051C9" w:rsidRPr="005A274B">
        <w:rPr>
          <w:rFonts w:ascii="Arial" w:hAnsi="Arial" w:cs="Arial"/>
        </w:rPr>
        <w:t xml:space="preserve">In this </w:t>
      </w:r>
      <w:r w:rsidR="006051C9">
        <w:rPr>
          <w:rFonts w:ascii="Arial" w:hAnsi="Arial" w:cs="Arial"/>
        </w:rPr>
        <w:t>study</w:t>
      </w:r>
      <w:r w:rsidR="006051C9" w:rsidRPr="005A274B">
        <w:rPr>
          <w:rFonts w:ascii="Arial" w:hAnsi="Arial" w:cs="Arial"/>
        </w:rPr>
        <w:t xml:space="preserve">, we aim to </w:t>
      </w:r>
      <w:r w:rsidR="00924C85">
        <w:rPr>
          <w:rFonts w:ascii="Arial" w:hAnsi="Arial" w:cs="Arial"/>
        </w:rPr>
        <w:t>evaluate the D-R relationship of</w:t>
      </w:r>
      <w:r w:rsidR="00535227">
        <w:rPr>
          <w:rFonts w:ascii="Arial" w:hAnsi="Arial" w:cs="Arial"/>
        </w:rPr>
        <w:t xml:space="preserve"> daratumumab in treatment of multiple myeloma (MM) </w:t>
      </w:r>
      <w:r w:rsidR="0043795C">
        <w:rPr>
          <w:rFonts w:ascii="Arial" w:hAnsi="Arial" w:cs="Arial"/>
        </w:rPr>
        <w:t xml:space="preserve">and identify </w:t>
      </w:r>
      <w:r w:rsidR="006051C9" w:rsidRPr="005A274B">
        <w:rPr>
          <w:rFonts w:ascii="Arial" w:hAnsi="Arial" w:cs="Arial"/>
        </w:rPr>
        <w:t xml:space="preserve">critical prognostic and predictive factors </w:t>
      </w:r>
      <w:r w:rsidR="004C242B">
        <w:rPr>
          <w:rFonts w:ascii="Arial" w:hAnsi="Arial" w:cs="Arial"/>
        </w:rPr>
        <w:t>influencing</w:t>
      </w:r>
      <w:r w:rsidR="006051C9">
        <w:rPr>
          <w:rFonts w:ascii="Arial" w:hAnsi="Arial" w:cs="Arial"/>
        </w:rPr>
        <w:t xml:space="preserve"> patient </w:t>
      </w:r>
      <w:r w:rsidR="004C242B">
        <w:rPr>
          <w:rFonts w:ascii="Arial" w:hAnsi="Arial" w:cs="Arial"/>
        </w:rPr>
        <w:t>response and survival</w:t>
      </w:r>
      <w:r w:rsidR="006051C9">
        <w:rPr>
          <w:rFonts w:ascii="Arial" w:hAnsi="Arial" w:cs="Arial"/>
        </w:rPr>
        <w:t xml:space="preserve">. </w:t>
      </w:r>
      <w:r w:rsidR="00B92E3A" w:rsidRPr="005A274B">
        <w:rPr>
          <w:rFonts w:ascii="Arial" w:hAnsi="Arial" w:cs="Arial"/>
        </w:rPr>
        <w:t xml:space="preserve">Our approach </w:t>
      </w:r>
      <w:r w:rsidR="00170D74">
        <w:rPr>
          <w:rFonts w:ascii="Arial" w:hAnsi="Arial" w:cs="Arial"/>
        </w:rPr>
        <w:t xml:space="preserve">will </w:t>
      </w:r>
      <w:r w:rsidR="00B92E3A" w:rsidRPr="005A274B">
        <w:rPr>
          <w:rFonts w:ascii="Arial" w:hAnsi="Arial" w:cs="Arial"/>
        </w:rPr>
        <w:t xml:space="preserve">entail the application of data-mining techniques and causal inference methods to uncover prognostic and predictive factors and </w:t>
      </w:r>
      <w:r w:rsidR="00B92E3A">
        <w:rPr>
          <w:rFonts w:ascii="Arial" w:hAnsi="Arial" w:cs="Arial"/>
        </w:rPr>
        <w:t xml:space="preserve">further </w:t>
      </w:r>
      <w:r w:rsidR="00B92E3A" w:rsidRPr="005A274B">
        <w:rPr>
          <w:rFonts w:ascii="Arial" w:hAnsi="Arial" w:cs="Arial"/>
        </w:rPr>
        <w:t xml:space="preserve">elucidate </w:t>
      </w:r>
      <w:r w:rsidR="00AD5A4D">
        <w:rPr>
          <w:rFonts w:ascii="Arial" w:hAnsi="Arial" w:cs="Arial"/>
        </w:rPr>
        <w:t xml:space="preserve">the </w:t>
      </w:r>
      <w:r w:rsidR="00B92E3A" w:rsidRPr="005A274B">
        <w:rPr>
          <w:rFonts w:ascii="Arial" w:hAnsi="Arial" w:cs="Arial"/>
        </w:rPr>
        <w:t>causal D</w:t>
      </w:r>
      <w:r w:rsidR="00B92E3A">
        <w:rPr>
          <w:rFonts w:ascii="Arial" w:hAnsi="Arial" w:cs="Arial"/>
        </w:rPr>
        <w:t>-</w:t>
      </w:r>
      <w:r w:rsidR="00B92E3A" w:rsidRPr="005A274B">
        <w:rPr>
          <w:rFonts w:ascii="Arial" w:hAnsi="Arial" w:cs="Arial"/>
        </w:rPr>
        <w:t>R relationship</w:t>
      </w:r>
      <w:r w:rsidR="00AD5A4D">
        <w:rPr>
          <w:rFonts w:ascii="Arial" w:hAnsi="Arial" w:cs="Arial"/>
        </w:rPr>
        <w:t xml:space="preserve"> of daratumumab</w:t>
      </w:r>
      <w:r w:rsidR="00B92E3A">
        <w:rPr>
          <w:rFonts w:ascii="Arial" w:hAnsi="Arial" w:cs="Arial"/>
        </w:rPr>
        <w:t xml:space="preserve"> </w:t>
      </w:r>
      <w:r w:rsidR="001D4056">
        <w:rPr>
          <w:rFonts w:ascii="Arial" w:hAnsi="Arial" w:cs="Arial"/>
        </w:rPr>
        <w:t>based on</w:t>
      </w:r>
      <w:r w:rsidR="00B92E3A">
        <w:rPr>
          <w:rFonts w:ascii="Arial" w:hAnsi="Arial" w:cs="Arial"/>
        </w:rPr>
        <w:t xml:space="preserve"> subgroup analysis</w:t>
      </w:r>
      <w:r w:rsidR="00B92E3A" w:rsidRPr="005A274B">
        <w:rPr>
          <w:rFonts w:ascii="Arial" w:hAnsi="Arial" w:cs="Arial"/>
        </w:rPr>
        <w:t>.</w:t>
      </w:r>
      <w:r w:rsidR="00455C85">
        <w:rPr>
          <w:rFonts w:ascii="Arial" w:hAnsi="Arial" w:cs="Arial"/>
        </w:rPr>
        <w:t xml:space="preserve"> </w:t>
      </w:r>
    </w:p>
    <w:p w14:paraId="7BE9815B" w14:textId="77777777" w:rsidR="00D5586F" w:rsidRDefault="00D5586F" w:rsidP="00641F01">
      <w:pPr>
        <w:rPr>
          <w:rFonts w:ascii="Arial" w:hAnsi="Arial" w:cs="Arial"/>
          <w:b/>
          <w:bCs/>
        </w:rPr>
      </w:pPr>
    </w:p>
    <w:p w14:paraId="00B99F73" w14:textId="4AB2CF2F" w:rsidR="00442A8B" w:rsidRPr="00770CB5" w:rsidRDefault="00442A8B" w:rsidP="00442A8B">
      <w:pPr>
        <w:rPr>
          <w:rFonts w:ascii="Arial" w:hAnsi="Arial" w:cs="Arial"/>
          <w:b/>
          <w:bCs/>
        </w:rPr>
      </w:pPr>
      <w:r w:rsidRPr="00770CB5">
        <w:rPr>
          <w:rFonts w:ascii="Arial" w:hAnsi="Arial" w:cs="Arial"/>
          <w:b/>
          <w:bCs/>
        </w:rPr>
        <w:t>Brief Project Background and Statement of Project Significance</w:t>
      </w:r>
    </w:p>
    <w:p w14:paraId="6CB61DB7" w14:textId="26D54700" w:rsidR="00053C13" w:rsidRDefault="00605C11" w:rsidP="00442A8B">
      <w:pPr>
        <w:rPr>
          <w:rFonts w:ascii="Arial" w:hAnsi="Arial" w:cs="Arial"/>
        </w:rPr>
      </w:pPr>
      <w:r w:rsidRPr="005A274B">
        <w:rPr>
          <w:rFonts w:ascii="Arial" w:hAnsi="Arial" w:cs="Arial"/>
        </w:rPr>
        <w:lastRenderedPageBreak/>
        <w:t xml:space="preserve">Multiple myeloma (MM) has risen as a growing global concern, with several targeted therapies developed, including the innovative CD38-targeting antibody, daratumumab. Daratumumab has shown remarkable efficacy and safety in both monotherapy and combination regimens for MM patients. </w:t>
      </w:r>
      <w:r w:rsidR="009442E4" w:rsidRPr="009442E4">
        <w:rPr>
          <w:rFonts w:ascii="Arial" w:hAnsi="Arial" w:cs="Arial"/>
        </w:rPr>
        <w:t xml:space="preserve">Certain reports have indicated that daratumumab may exhibit </w:t>
      </w:r>
      <w:r w:rsidR="009442E4">
        <w:rPr>
          <w:rFonts w:ascii="Arial" w:hAnsi="Arial" w:cs="Arial"/>
        </w:rPr>
        <w:t xml:space="preserve">dose-dependent efficacy and </w:t>
      </w:r>
      <w:r w:rsidR="009442E4" w:rsidRPr="009442E4">
        <w:rPr>
          <w:rFonts w:ascii="Arial" w:hAnsi="Arial" w:cs="Arial"/>
        </w:rPr>
        <w:t>dose-dependent toxicity</w:t>
      </w:r>
      <w:r w:rsidR="00203C4A">
        <w:rPr>
          <w:rFonts w:ascii="Arial" w:hAnsi="Arial" w:cs="Arial"/>
        </w:rPr>
        <w:fldChar w:fldCharType="begin"/>
      </w:r>
      <w:r w:rsidR="00203C4A">
        <w:rPr>
          <w:rFonts w:ascii="Arial" w:hAnsi="Arial" w:cs="Arial"/>
        </w:rPr>
        <w:instrText xml:space="preserve"> ADDIN ZOTERO_ITEM CSL_CITATION {"citationID":"i4eg4ce8","properties":{"formattedCitation":"\\super 2,3\\nosupersub{}","plainCitation":"2,3","noteIndex":0},"citationItems":[{"id":5796,"uris":["http://zotero.org/users/9693191/items/BK5AKQ7C"],"itemData":{"id":5796,"type":"article-journal","abstract":"Background\nDaratumumab is a recent addition in the treatment of multiple myeloma (MM). Daratumumab is a human monoclonal antibody directed against CD38. Daratumumab has no major side effects on the liver published to date. In this case report we describe a dose dependent drug induced liver injury after the use of daratumumab in the treatment of MM that has not been described previously.\n\nAims\nTo describe the first case report of Daratumumab dose dependent liver injury.\n\nMethods\nCase report\n\nResults\nA 58-year-old gentleman with IgA kappa MM which was diagnosed in January 2015 and has been refractory to three previous lines of therapy. He was admitted on an outpatient basis to the hospital in August 2016, for the treatment of his refractory IgA kappa MM, with Daratumumab. He had no recent changes in his medications and his baseline liver enzyme profile was normal. Following Daratumumab first full dose with 16mg/kg, the patient became fatigued within 48 hours and there was elevation in liver enzymes with an initial ALT of 1622 and AST of 1672. His Alkaline phosphates was 96 and total Bilirubin was 21. Viral serology (A, B, C, EBV and CMV), Acetaminophen and Ethanol level, Anti-nuclear antibody, anti-mitochondrial antibody and anti-smooth muscle antibody were negative. The dramatic increase in his liver enzymes was attributed to Daratumumab hepatotoxicity. Two days following the first dose, the liver enzymes started to trend down without intervention and gradually decreased to normal level after a period of 20 days. Subsequent doses of Daratumumab were modified at 8 mg/kg without increase in liver enzymes.\n\nConclusions\nDaratumumab has a potential hepatotoxic effect that is likely dose dependent. Modified doses of Daratumumab may reduce the risk of liver injury.\n\nFunding Agencies\nNone","container-title":"Journal of the Canadian Association of Gastroenterology","DOI":"10.1093/jcag/gwy008.035","ISSN":"2515-2084","issue":"Suppl 1","journalAbbreviation":"J Can Assoc Gastroenterol","note":"PMID: null\nPMCID: PMC6507806","page":"61","source":"PubMed Central","title":"A34 DARATUMUMAB DOSE DEPENDENT LIVER INJURY","volume":"1","author":[{"family":"Altuwaijri","given":"M"},{"family":"Lam","given":"E"}],"issued":{"date-parts":[["2018",2]]},"citation-key":"altuwaijriA34DARATUMUMABDOSE2018"}},{"id":5799,"uris":["http://zotero.org/users/9693191/items/WIH8W328"],"itemData":{"id":5799,"type":"article-journal","abstract":"8513\n\nBackground: Pts with RR MM received DARA for 9 wks in doses of 0.005-24mg/kg in the GEN501 dose-escalation part (Lokhorst: EHA 2013 abstract S576). The purpose of the GEN501 expansion part, which has completed enrollment, was to evaluate safety and efficacy of 2 doses of DARA for up to 24 m</w:instrText>
      </w:r>
      <w:r w:rsidR="00203C4A">
        <w:rPr>
          <w:rFonts w:ascii="Arial" w:hAnsi="Arial" w:cs="Arial" w:hint="eastAsia"/>
        </w:rPr>
        <w:instrText xml:space="preserve">ths using alternate dose schedules. Methods: Pts </w:instrText>
      </w:r>
      <w:r w:rsidR="00203C4A">
        <w:rPr>
          <w:rFonts w:ascii="Arial" w:hAnsi="Arial" w:cs="Arial" w:hint="eastAsia"/>
        </w:rPr>
        <w:instrText>≥</w:instrText>
      </w:r>
      <w:r w:rsidR="00203C4A">
        <w:rPr>
          <w:rFonts w:ascii="Arial" w:hAnsi="Arial" w:cs="Arial" w:hint="eastAsia"/>
        </w:rPr>
        <w:instrText>18 yrs, RR to at least 2 prior lines of therapy, incl. IMiDs and proteasome inhibitors, and ineligible for ASCT were enrolled at 2 dose levels: A: 8mg/kg +/- pre-dose (10mg) wkly for the first 8 infusions.</w:instrText>
      </w:r>
      <w:r w:rsidR="00203C4A">
        <w:rPr>
          <w:rFonts w:ascii="Arial" w:hAnsi="Arial" w:cs="Arial"/>
        </w:rPr>
        <w:instrText>B: 16mg/kg without pre-dose with a 3-wk washout period between the first 2 doses followed by 7 wkly doses. Then all pts were dosed every 2nd wk for 16 wks followed by dosing every 4th wk until disease progression, toxicity or for max 24 mths. Results: Data from 30 pts in the 8mg/kg cohort and 15 pts in the 16mg/kg cohort recruited into the GEN501 expansion part are presented. Median age was 58.2 (35.1-76.9) and 64.1 (50.5-75.0) years, prior treatment lines were 5 (3-11), and 4 (2-8) and time since diagnosis was 5.5 (2.1-15.2) and 7.1 (0.4-13.3) years, respectively. Median number of DARA infusions was 10.5 vs 7.0, reflecting the more recent initiation of the 16mg/kg cohort. Infusion times were 3.5 vs 3.4 hours in the 8 and 16mg/kg groups, respectively. Saf</w:instrText>
      </w:r>
      <w:r w:rsidR="00203C4A">
        <w:rPr>
          <w:rFonts w:ascii="Arial" w:hAnsi="Arial" w:cs="Arial" w:hint="eastAsia"/>
        </w:rPr>
        <w:instrText xml:space="preserve">ety: No dose-related increase in adverse events (AEs) was observed. Most common AEs reported (in </w:instrText>
      </w:r>
      <w:r w:rsidR="00203C4A">
        <w:rPr>
          <w:rFonts w:ascii="Arial" w:hAnsi="Arial" w:cs="Arial" w:hint="eastAsia"/>
        </w:rPr>
        <w:instrText>≥</w:instrText>
      </w:r>
      <w:r w:rsidR="00203C4A">
        <w:rPr>
          <w:rFonts w:ascii="Arial" w:hAnsi="Arial" w:cs="Arial" w:hint="eastAsia"/>
        </w:rPr>
        <w:instrText>20% of all pts) were pyrexia, allergic rhinitis, fatigue, upper respiratory tract infection, diarrhea, dyspnea and cough. Only mild (Gr 1 and 2) infusion-rel</w:instrText>
      </w:r>
      <w:r w:rsidR="00203C4A">
        <w:rPr>
          <w:rFonts w:ascii="Arial" w:hAnsi="Arial" w:cs="Arial"/>
        </w:rPr>
        <w:instrText xml:space="preserve">ated reactions (IRRs) were reported with 27% in the 16mg/kg group vs 20% in the 8mg/kg group. 2 SAEs, 1 in each group, were assessed as related to DARA (1 thrombocytopenia, 1 lymphocytopenia). One pt was withdrawn after 1st full dose due to thrombocytopenia Gr 3. Omission of the pre-dose increased neither the incidence nor the severity of IRRs. Conclusions: DARA monotherapy in RR MM pts resulted in high single agent activity when administered at 16 mg/kg (46% ORR). The safety profile was manageable. Full response data will be presented at the meeting incl. bone marrow assessments. Clinical trial information: NCT00574288.\n\n\tPD\tSD\tMR\tPR\tVGPR\tORRA\n8 mg/kg\nn=30\t9\t14\t5\t2\t0\t7%\n16 mg/kg\nn=13B\t3\t3\t1\t3\t3\t46%\n\nA PR or better. B 2 pts only had 1st dose at data cutoff.","container-title":"Journal of Clinical Oncology","DOI":"10.1200/jco.2014.32.15_suppl.8513","ISSN":"0732-183X","issue":"15_suppl","journalAbbreviation":"JCO","note":"publisher: Wolters Kluwer","page":"8513-8513","source":"ascopubs.org (Atypon)","title":"Dose-dependent efficacy of daratumumab (DARA) as monotherapy in patients with relapsed or refractory multiple myeloma (RR MM).","volume":"32","author":[{"family":"Lokhorst","given":"Henk M."},{"family":"Laubach","given":"Jacob"},{"family":"Nahi","given":"Hareth"},{"family":"Plesner","given":"Torben"},{"family":"Gimsing","given":"Peter"},{"family":"Hansson","given":"Markus"},{"family":"Minnema","given":"Monique"},{"family":"Lassen","given":"Ulrik Niels"},{"family":"Krejcik","given":"Jakub"},{"family":"Ahmadi","given":"Tahamtan"},{"family":"Lisby","given":"Steen"},{"family":"Basse","given":"Linda"},{"family":"Brun","given":"Nikolai C."},{"family":"Richardson","given":"Paul G."}],"issued":{"date-parts":[["2014",5,20]]},"citation-key":"lokhorstDosedependentEfficacyDaratumumab2014"}}],"schema":"https://github.com/citation-style-language/schema/raw/master/csl-citation.json"} </w:instrText>
      </w:r>
      <w:r w:rsidR="00203C4A">
        <w:rPr>
          <w:rFonts w:ascii="Arial" w:hAnsi="Arial" w:cs="Arial"/>
        </w:rPr>
        <w:fldChar w:fldCharType="separate"/>
      </w:r>
      <w:r w:rsidR="00203C4A" w:rsidRPr="00203C4A">
        <w:rPr>
          <w:rFonts w:ascii="Arial" w:hAnsi="Arial" w:cs="Arial"/>
          <w:kern w:val="0"/>
          <w:szCs w:val="24"/>
          <w:vertAlign w:val="superscript"/>
        </w:rPr>
        <w:t>2,3</w:t>
      </w:r>
      <w:r w:rsidR="00203C4A">
        <w:rPr>
          <w:rFonts w:ascii="Arial" w:hAnsi="Arial" w:cs="Arial"/>
        </w:rPr>
        <w:fldChar w:fldCharType="end"/>
      </w:r>
      <w:r w:rsidR="009442E4" w:rsidRPr="009442E4">
        <w:rPr>
          <w:rFonts w:ascii="Arial" w:hAnsi="Arial" w:cs="Arial"/>
        </w:rPr>
        <w:t>. This underscores the significance of meticulously determining an optimal dosage that effectively manages the delicate equilibrium between therapeutic benefits and potential risks.</w:t>
      </w:r>
      <w:r w:rsidR="001277BE">
        <w:rPr>
          <w:rFonts w:ascii="Arial" w:hAnsi="Arial" w:cs="Arial"/>
        </w:rPr>
        <w:t xml:space="preserve"> </w:t>
      </w:r>
      <w:r w:rsidR="004D579A">
        <w:rPr>
          <w:rFonts w:ascii="Arial" w:hAnsi="Arial" w:cs="Arial"/>
        </w:rPr>
        <w:t>One common way is to perform dose-response (D-R) analyses</w:t>
      </w:r>
      <w:r w:rsidR="00100725">
        <w:rPr>
          <w:rFonts w:ascii="Arial" w:hAnsi="Arial" w:cs="Arial"/>
        </w:rPr>
        <w:t xml:space="preserve">. </w:t>
      </w:r>
      <w:r w:rsidR="002A2BFD">
        <w:rPr>
          <w:rFonts w:ascii="Arial" w:hAnsi="Arial" w:cs="Arial"/>
        </w:rPr>
        <w:t xml:space="preserve">However, multiple confounding factors </w:t>
      </w:r>
      <w:r w:rsidR="00C81362">
        <w:rPr>
          <w:rFonts w:ascii="Arial" w:hAnsi="Arial" w:cs="Arial"/>
        </w:rPr>
        <w:t xml:space="preserve">can </w:t>
      </w:r>
      <w:r w:rsidR="002A2BFD">
        <w:rPr>
          <w:rFonts w:ascii="Arial" w:hAnsi="Arial" w:cs="Arial"/>
        </w:rPr>
        <w:t>affect patient response</w:t>
      </w:r>
      <w:r w:rsidR="00473522">
        <w:rPr>
          <w:rFonts w:ascii="Arial" w:hAnsi="Arial" w:cs="Arial"/>
        </w:rPr>
        <w:t xml:space="preserve">, </w:t>
      </w:r>
      <w:r w:rsidR="004E2C84">
        <w:rPr>
          <w:rFonts w:ascii="Arial" w:hAnsi="Arial" w:cs="Arial"/>
        </w:rPr>
        <w:t xml:space="preserve">making it difficult to </w:t>
      </w:r>
      <w:r w:rsidR="001A2FAE">
        <w:rPr>
          <w:rFonts w:ascii="Arial" w:hAnsi="Arial" w:cs="Arial"/>
        </w:rPr>
        <w:t>apply average D-R relationships to address questions concerning</w:t>
      </w:r>
      <w:r w:rsidR="00077186">
        <w:rPr>
          <w:rFonts w:ascii="Arial" w:hAnsi="Arial" w:cs="Arial"/>
        </w:rPr>
        <w:t xml:space="preserve"> dose optimization</w:t>
      </w:r>
      <w:r w:rsidR="001A2160">
        <w:rPr>
          <w:rFonts w:ascii="Arial" w:hAnsi="Arial" w:cs="Arial"/>
        </w:rPr>
        <w:t>.</w:t>
      </w:r>
      <w:r w:rsidR="001A2FAE">
        <w:rPr>
          <w:rFonts w:ascii="Arial" w:hAnsi="Arial" w:cs="Arial"/>
        </w:rPr>
        <w:t xml:space="preserve"> </w:t>
      </w:r>
      <w:r w:rsidR="00FF1B31">
        <w:rPr>
          <w:rFonts w:ascii="Arial" w:hAnsi="Arial" w:cs="Arial"/>
        </w:rPr>
        <w:t>H</w:t>
      </w:r>
      <w:r w:rsidR="00E16BDA" w:rsidRPr="00E16BDA">
        <w:rPr>
          <w:rFonts w:ascii="Arial" w:hAnsi="Arial" w:cs="Arial"/>
        </w:rPr>
        <w:t xml:space="preserve">eterogeneous </w:t>
      </w:r>
      <w:r w:rsidR="00505DA2">
        <w:rPr>
          <w:rFonts w:ascii="Arial" w:hAnsi="Arial" w:cs="Arial"/>
        </w:rPr>
        <w:t>t</w:t>
      </w:r>
      <w:r w:rsidR="00505DA2" w:rsidRPr="00E16BDA">
        <w:rPr>
          <w:rFonts w:ascii="Arial" w:hAnsi="Arial" w:cs="Arial"/>
        </w:rPr>
        <w:t xml:space="preserve">reatment </w:t>
      </w:r>
      <w:r w:rsidR="00505DA2">
        <w:rPr>
          <w:rFonts w:ascii="Arial" w:hAnsi="Arial" w:cs="Arial"/>
        </w:rPr>
        <w:t>e</w:t>
      </w:r>
      <w:r w:rsidR="00505DA2" w:rsidRPr="00E16BDA">
        <w:rPr>
          <w:rFonts w:ascii="Arial" w:hAnsi="Arial" w:cs="Arial"/>
        </w:rPr>
        <w:t>ffect</w:t>
      </w:r>
      <w:r w:rsidR="00505DA2">
        <w:rPr>
          <w:rFonts w:ascii="Arial" w:hAnsi="Arial" w:cs="Arial"/>
        </w:rPr>
        <w:t>s</w:t>
      </w:r>
      <w:r w:rsidR="00505DA2" w:rsidRPr="00E16BDA">
        <w:rPr>
          <w:rFonts w:ascii="Arial" w:hAnsi="Arial" w:cs="Arial"/>
        </w:rPr>
        <w:t xml:space="preserve"> </w:t>
      </w:r>
      <w:r w:rsidR="00E16BDA" w:rsidRPr="00E16BDA">
        <w:rPr>
          <w:rFonts w:ascii="Arial" w:hAnsi="Arial" w:cs="Arial"/>
        </w:rPr>
        <w:t xml:space="preserve">(HTE) </w:t>
      </w:r>
      <w:r w:rsidR="007A3924">
        <w:rPr>
          <w:rFonts w:ascii="Arial" w:hAnsi="Arial" w:cs="Arial"/>
        </w:rPr>
        <w:t xml:space="preserve">analyses </w:t>
      </w:r>
      <w:r w:rsidR="007968A0">
        <w:rPr>
          <w:rFonts w:ascii="Arial" w:hAnsi="Arial" w:cs="Arial"/>
        </w:rPr>
        <w:t xml:space="preserve">can help identify critical confounding factors and </w:t>
      </w:r>
      <w:r w:rsidR="00937377">
        <w:rPr>
          <w:rFonts w:ascii="Arial" w:hAnsi="Arial" w:cs="Arial"/>
        </w:rPr>
        <w:t xml:space="preserve">elucidate causal D-R relationships. </w:t>
      </w:r>
      <w:r w:rsidR="00F448F5">
        <w:rPr>
          <w:rFonts w:ascii="Arial" w:hAnsi="Arial" w:cs="Arial"/>
        </w:rPr>
        <w:t>Using daratumumab as an example</w:t>
      </w:r>
      <w:r w:rsidR="00E16BDA" w:rsidRPr="00E16BDA">
        <w:rPr>
          <w:rFonts w:ascii="Arial" w:hAnsi="Arial" w:cs="Arial"/>
        </w:rPr>
        <w:t xml:space="preserve">, </w:t>
      </w:r>
      <w:r w:rsidR="008C08F4">
        <w:rPr>
          <w:rFonts w:ascii="Arial" w:hAnsi="Arial" w:cs="Arial"/>
        </w:rPr>
        <w:t xml:space="preserve">this study aims at </w:t>
      </w:r>
      <w:r w:rsidR="00F448F5">
        <w:rPr>
          <w:rFonts w:ascii="Arial" w:hAnsi="Arial" w:cs="Arial"/>
        </w:rPr>
        <w:t>elucidating</w:t>
      </w:r>
      <w:r w:rsidR="00F448F5" w:rsidRPr="00E16BDA">
        <w:rPr>
          <w:rFonts w:ascii="Arial" w:hAnsi="Arial" w:cs="Arial"/>
        </w:rPr>
        <w:t xml:space="preserve"> </w:t>
      </w:r>
      <w:r w:rsidR="00E16BDA" w:rsidRPr="00E16BDA">
        <w:rPr>
          <w:rFonts w:ascii="Arial" w:hAnsi="Arial" w:cs="Arial"/>
        </w:rPr>
        <w:t xml:space="preserve">how </w:t>
      </w:r>
      <w:r w:rsidR="00553208">
        <w:rPr>
          <w:rFonts w:ascii="Arial" w:hAnsi="Arial" w:cs="Arial"/>
        </w:rPr>
        <w:t xml:space="preserve">the D-R relationships </w:t>
      </w:r>
      <w:r w:rsidR="004E7F19">
        <w:rPr>
          <w:rFonts w:ascii="Arial" w:hAnsi="Arial" w:cs="Arial"/>
        </w:rPr>
        <w:t xml:space="preserve">are </w:t>
      </w:r>
      <w:r w:rsidR="00E02C64">
        <w:rPr>
          <w:rFonts w:ascii="Arial" w:hAnsi="Arial" w:cs="Arial"/>
        </w:rPr>
        <w:t xml:space="preserve">shaped by </w:t>
      </w:r>
      <w:r w:rsidR="00E16BDA" w:rsidRPr="00E16BDA">
        <w:rPr>
          <w:rFonts w:ascii="Arial" w:hAnsi="Arial" w:cs="Arial"/>
        </w:rPr>
        <w:t xml:space="preserve">different </w:t>
      </w:r>
      <w:r w:rsidR="00F448F5">
        <w:rPr>
          <w:rFonts w:ascii="Arial" w:hAnsi="Arial" w:cs="Arial"/>
        </w:rPr>
        <w:t>prognosis or risk levels</w:t>
      </w:r>
      <w:r w:rsidR="00A9330C">
        <w:rPr>
          <w:rFonts w:ascii="Arial" w:hAnsi="Arial" w:cs="Arial"/>
        </w:rPr>
        <w:t xml:space="preserve"> and deriving causal D-R relationships </w:t>
      </w:r>
      <w:r w:rsidR="00E377D6">
        <w:rPr>
          <w:rFonts w:ascii="Arial" w:hAnsi="Arial" w:cs="Arial"/>
        </w:rPr>
        <w:t xml:space="preserve">for </w:t>
      </w:r>
      <w:r w:rsidR="00F448F5">
        <w:rPr>
          <w:rFonts w:ascii="Arial" w:hAnsi="Arial" w:cs="Arial"/>
        </w:rPr>
        <w:t>support</w:t>
      </w:r>
      <w:r w:rsidR="000D3E9F">
        <w:rPr>
          <w:rFonts w:ascii="Arial" w:hAnsi="Arial" w:cs="Arial"/>
        </w:rPr>
        <w:t xml:space="preserve"> of</w:t>
      </w:r>
      <w:r w:rsidR="00F448F5">
        <w:rPr>
          <w:rFonts w:ascii="Arial" w:hAnsi="Arial" w:cs="Arial"/>
        </w:rPr>
        <w:t xml:space="preserve"> dose optimization </w:t>
      </w:r>
      <w:r w:rsidR="00414B60">
        <w:rPr>
          <w:rFonts w:ascii="Arial" w:hAnsi="Arial" w:cs="Arial"/>
        </w:rPr>
        <w:t>based on</w:t>
      </w:r>
      <w:r w:rsidR="00F448F5">
        <w:rPr>
          <w:rFonts w:ascii="Arial" w:hAnsi="Arial" w:cs="Arial"/>
        </w:rPr>
        <w:t xml:space="preserve"> </w:t>
      </w:r>
      <w:r w:rsidR="00E16BDA" w:rsidRPr="00E16BDA">
        <w:rPr>
          <w:rFonts w:ascii="Arial" w:hAnsi="Arial" w:cs="Arial"/>
        </w:rPr>
        <w:t xml:space="preserve">individual </w:t>
      </w:r>
      <w:r w:rsidR="00A37A36">
        <w:rPr>
          <w:rFonts w:ascii="Arial" w:hAnsi="Arial" w:cs="Arial"/>
        </w:rPr>
        <w:t>ou</w:t>
      </w:r>
      <w:r w:rsidR="00E02C64">
        <w:rPr>
          <w:rFonts w:ascii="Arial" w:hAnsi="Arial" w:cs="Arial"/>
        </w:rPr>
        <w:t>t</w:t>
      </w:r>
      <w:r w:rsidR="00A37A36">
        <w:rPr>
          <w:rFonts w:ascii="Arial" w:hAnsi="Arial" w:cs="Arial"/>
        </w:rPr>
        <w:t>comes</w:t>
      </w:r>
      <w:r w:rsidR="00E16BDA" w:rsidRPr="00E16BDA">
        <w:rPr>
          <w:rFonts w:ascii="Arial" w:hAnsi="Arial" w:cs="Arial"/>
        </w:rPr>
        <w:t>.</w:t>
      </w:r>
    </w:p>
    <w:p w14:paraId="23E8E3C5" w14:textId="77777777" w:rsidR="00E16BDA" w:rsidRPr="00037419" w:rsidRDefault="00E16BDA" w:rsidP="00442A8B">
      <w:pPr>
        <w:rPr>
          <w:rFonts w:ascii="Arial" w:hAnsi="Arial" w:cs="Arial"/>
        </w:rPr>
      </w:pPr>
    </w:p>
    <w:p w14:paraId="6C269F98" w14:textId="5C088C98" w:rsidR="00442A8B" w:rsidRPr="00770CB5" w:rsidRDefault="00442A8B" w:rsidP="00442A8B">
      <w:pPr>
        <w:rPr>
          <w:rFonts w:ascii="Arial" w:hAnsi="Arial" w:cs="Arial"/>
          <w:b/>
          <w:bCs/>
        </w:rPr>
      </w:pPr>
      <w:r w:rsidRPr="00770CB5">
        <w:rPr>
          <w:rFonts w:ascii="Arial" w:hAnsi="Arial" w:cs="Arial"/>
          <w:b/>
          <w:bCs/>
        </w:rPr>
        <w:t>Specific Aims of the Project</w:t>
      </w:r>
    </w:p>
    <w:p w14:paraId="356551E8" w14:textId="6C45E335" w:rsidR="005A274B" w:rsidRPr="005A274B" w:rsidRDefault="005A274B" w:rsidP="005A274B">
      <w:pPr>
        <w:rPr>
          <w:rFonts w:ascii="Arial" w:hAnsi="Arial" w:cs="Arial"/>
        </w:rPr>
      </w:pPr>
      <w:r w:rsidRPr="005A274B">
        <w:rPr>
          <w:rFonts w:ascii="Arial" w:hAnsi="Arial" w:cs="Arial"/>
        </w:rPr>
        <w:t xml:space="preserve">This </w:t>
      </w:r>
      <w:r w:rsidR="00C96AD4">
        <w:rPr>
          <w:rFonts w:ascii="Arial" w:hAnsi="Arial" w:cs="Arial"/>
        </w:rPr>
        <w:t>study</w:t>
      </w:r>
      <w:r w:rsidR="00C96AD4" w:rsidRPr="005A274B">
        <w:rPr>
          <w:rFonts w:ascii="Arial" w:hAnsi="Arial" w:cs="Arial"/>
        </w:rPr>
        <w:t xml:space="preserve"> </w:t>
      </w:r>
      <w:r w:rsidRPr="005A274B">
        <w:rPr>
          <w:rFonts w:ascii="Arial" w:hAnsi="Arial" w:cs="Arial"/>
        </w:rPr>
        <w:t xml:space="preserve">aims to analyze clinical trial data to identify </w:t>
      </w:r>
      <w:r w:rsidR="0088244E">
        <w:rPr>
          <w:rFonts w:ascii="Arial" w:hAnsi="Arial" w:cs="Arial"/>
        </w:rPr>
        <w:t xml:space="preserve">critical </w:t>
      </w:r>
      <w:r w:rsidRPr="005A274B">
        <w:rPr>
          <w:rFonts w:ascii="Arial" w:hAnsi="Arial" w:cs="Arial"/>
        </w:rPr>
        <w:t xml:space="preserve">prognostic and predictive factors </w:t>
      </w:r>
      <w:r w:rsidR="006E6252">
        <w:rPr>
          <w:rFonts w:ascii="Arial" w:hAnsi="Arial" w:cs="Arial"/>
        </w:rPr>
        <w:t xml:space="preserve">and </w:t>
      </w:r>
      <w:r w:rsidR="00943BD9">
        <w:rPr>
          <w:rFonts w:ascii="Arial" w:hAnsi="Arial" w:cs="Arial"/>
        </w:rPr>
        <w:t>derive a causal D-R relationship of daratumumab in treatment</w:t>
      </w:r>
      <w:r w:rsidR="00BE30C2">
        <w:rPr>
          <w:rFonts w:ascii="Arial" w:hAnsi="Arial" w:cs="Arial"/>
        </w:rPr>
        <w:t xml:space="preserve"> of </w:t>
      </w:r>
      <w:r w:rsidR="00C3015D">
        <w:rPr>
          <w:rFonts w:ascii="Arial" w:hAnsi="Arial" w:cs="Arial"/>
        </w:rPr>
        <w:t>MM</w:t>
      </w:r>
      <w:r w:rsidRPr="005A274B">
        <w:rPr>
          <w:rFonts w:ascii="Arial" w:hAnsi="Arial" w:cs="Arial"/>
        </w:rPr>
        <w:t xml:space="preserve">. </w:t>
      </w:r>
      <w:r w:rsidR="000D590E" w:rsidRPr="005A274B">
        <w:rPr>
          <w:rFonts w:ascii="Arial" w:hAnsi="Arial" w:cs="Arial"/>
        </w:rPr>
        <w:t>Th</w:t>
      </w:r>
      <w:r w:rsidR="000D590E">
        <w:rPr>
          <w:rFonts w:ascii="Arial" w:hAnsi="Arial" w:cs="Arial"/>
        </w:rPr>
        <w:t>is</w:t>
      </w:r>
      <w:r w:rsidR="000D590E" w:rsidRPr="005A274B">
        <w:rPr>
          <w:rFonts w:ascii="Arial" w:hAnsi="Arial" w:cs="Arial"/>
        </w:rPr>
        <w:t xml:space="preserve"> </w:t>
      </w:r>
      <w:r w:rsidRPr="005A274B">
        <w:rPr>
          <w:rFonts w:ascii="Arial" w:hAnsi="Arial" w:cs="Arial"/>
        </w:rPr>
        <w:t xml:space="preserve">study is </w:t>
      </w:r>
      <w:r w:rsidR="008B5765">
        <w:rPr>
          <w:rFonts w:ascii="Arial" w:hAnsi="Arial" w:cs="Arial"/>
        </w:rPr>
        <w:t>proposed with</w:t>
      </w:r>
      <w:r w:rsidRPr="005A274B">
        <w:rPr>
          <w:rFonts w:ascii="Arial" w:hAnsi="Arial" w:cs="Arial"/>
        </w:rPr>
        <w:t xml:space="preserve"> two specific aims:</w:t>
      </w:r>
    </w:p>
    <w:p w14:paraId="3356EB04" w14:textId="744571B9" w:rsidR="005A274B" w:rsidRPr="005A274B" w:rsidRDefault="005A274B" w:rsidP="00290139">
      <w:pPr>
        <w:ind w:firstLine="720"/>
        <w:rPr>
          <w:rFonts w:ascii="Arial" w:hAnsi="Arial" w:cs="Arial"/>
        </w:rPr>
      </w:pPr>
      <w:r w:rsidRPr="005A274B">
        <w:rPr>
          <w:rFonts w:ascii="Arial" w:hAnsi="Arial" w:cs="Arial"/>
        </w:rPr>
        <w:t xml:space="preserve">Aim 1: </w:t>
      </w:r>
      <w:r w:rsidR="00933A47">
        <w:rPr>
          <w:rFonts w:ascii="Arial" w:hAnsi="Arial" w:cs="Arial"/>
        </w:rPr>
        <w:t>To i</w:t>
      </w:r>
      <w:r w:rsidRPr="005A274B">
        <w:rPr>
          <w:rFonts w:ascii="Arial" w:hAnsi="Arial" w:cs="Arial"/>
        </w:rPr>
        <w:t xml:space="preserve">dentify </w:t>
      </w:r>
      <w:r w:rsidR="008070AD">
        <w:rPr>
          <w:rFonts w:ascii="Arial" w:hAnsi="Arial" w:cs="Arial"/>
        </w:rPr>
        <w:t xml:space="preserve">critical </w:t>
      </w:r>
      <w:r w:rsidRPr="005A274B">
        <w:rPr>
          <w:rFonts w:ascii="Arial" w:hAnsi="Arial" w:cs="Arial"/>
        </w:rPr>
        <w:t xml:space="preserve">prognostic and predictive factors </w:t>
      </w:r>
      <w:r w:rsidR="003218DD">
        <w:rPr>
          <w:rFonts w:ascii="Arial" w:hAnsi="Arial" w:cs="Arial"/>
        </w:rPr>
        <w:t xml:space="preserve">and </w:t>
      </w:r>
      <w:r w:rsidR="00044471">
        <w:rPr>
          <w:rFonts w:ascii="Arial" w:hAnsi="Arial" w:cs="Arial"/>
        </w:rPr>
        <w:t xml:space="preserve">to quantify their influences </w:t>
      </w:r>
      <w:r w:rsidR="003E6B93">
        <w:rPr>
          <w:rFonts w:ascii="Arial" w:hAnsi="Arial" w:cs="Arial"/>
        </w:rPr>
        <w:t>on MM patient response and survival</w:t>
      </w:r>
      <w:r w:rsidR="002150F3">
        <w:rPr>
          <w:rFonts w:ascii="Arial" w:hAnsi="Arial" w:cs="Arial"/>
        </w:rPr>
        <w:t>.</w:t>
      </w:r>
    </w:p>
    <w:p w14:paraId="12440BA3" w14:textId="4F29175C" w:rsidR="00020244" w:rsidRDefault="005A274B" w:rsidP="00290139">
      <w:pPr>
        <w:ind w:firstLine="720"/>
        <w:rPr>
          <w:rFonts w:ascii="Arial" w:hAnsi="Arial" w:cs="Arial"/>
        </w:rPr>
      </w:pPr>
      <w:r w:rsidRPr="005A274B">
        <w:rPr>
          <w:rFonts w:ascii="Arial" w:hAnsi="Arial" w:cs="Arial"/>
        </w:rPr>
        <w:t xml:space="preserve">Aim 2: </w:t>
      </w:r>
      <w:r w:rsidR="002150F3">
        <w:rPr>
          <w:rFonts w:ascii="Arial" w:hAnsi="Arial" w:cs="Arial"/>
        </w:rPr>
        <w:t xml:space="preserve">To derive a </w:t>
      </w:r>
      <w:r w:rsidRPr="005A274B">
        <w:rPr>
          <w:rFonts w:ascii="Arial" w:hAnsi="Arial" w:cs="Arial"/>
        </w:rPr>
        <w:t xml:space="preserve">causal </w:t>
      </w:r>
      <w:r w:rsidR="00A1176D">
        <w:rPr>
          <w:rFonts w:ascii="Arial" w:hAnsi="Arial" w:cs="Arial"/>
        </w:rPr>
        <w:t>D-R</w:t>
      </w:r>
      <w:r w:rsidRPr="005A274B">
        <w:rPr>
          <w:rFonts w:ascii="Arial" w:hAnsi="Arial" w:cs="Arial"/>
        </w:rPr>
        <w:t xml:space="preserve"> relationship</w:t>
      </w:r>
      <w:r w:rsidR="000B1449">
        <w:rPr>
          <w:rFonts w:ascii="Arial" w:hAnsi="Arial" w:cs="Arial"/>
        </w:rPr>
        <w:t xml:space="preserve"> for daratumumab in treatment of MM</w:t>
      </w:r>
      <w:r w:rsidRPr="005A274B">
        <w:rPr>
          <w:rFonts w:ascii="Arial" w:hAnsi="Arial" w:cs="Arial"/>
        </w:rPr>
        <w:t xml:space="preserve"> </w:t>
      </w:r>
      <w:r w:rsidR="00AB7613">
        <w:rPr>
          <w:rFonts w:ascii="Arial" w:hAnsi="Arial" w:cs="Arial"/>
        </w:rPr>
        <w:t xml:space="preserve">by </w:t>
      </w:r>
      <w:r w:rsidR="00350B8F">
        <w:rPr>
          <w:rFonts w:ascii="Arial" w:hAnsi="Arial" w:cs="Arial"/>
        </w:rPr>
        <w:t>untangling</w:t>
      </w:r>
      <w:r w:rsidR="00AB7613">
        <w:rPr>
          <w:rFonts w:ascii="Arial" w:hAnsi="Arial" w:cs="Arial"/>
        </w:rPr>
        <w:t xml:space="preserve"> </w:t>
      </w:r>
      <w:r w:rsidR="00C2234E">
        <w:rPr>
          <w:rFonts w:ascii="Arial" w:hAnsi="Arial" w:cs="Arial"/>
        </w:rPr>
        <w:t xml:space="preserve">confounding </w:t>
      </w:r>
      <w:r w:rsidR="003B25FE">
        <w:rPr>
          <w:rFonts w:ascii="Arial" w:hAnsi="Arial" w:cs="Arial"/>
        </w:rPr>
        <w:t>effects</w:t>
      </w:r>
      <w:r w:rsidR="00453A9F">
        <w:rPr>
          <w:rFonts w:ascii="Arial" w:hAnsi="Arial" w:cs="Arial"/>
        </w:rPr>
        <w:t>.</w:t>
      </w:r>
      <w:r w:rsidR="008C41E0">
        <w:rPr>
          <w:rFonts w:ascii="Arial" w:hAnsi="Arial" w:cs="Arial"/>
        </w:rPr>
        <w:t xml:space="preserve"> </w:t>
      </w:r>
    </w:p>
    <w:p w14:paraId="1650AF6E" w14:textId="77777777" w:rsidR="008B5765" w:rsidRDefault="008B5765" w:rsidP="00020244">
      <w:pPr>
        <w:rPr>
          <w:rFonts w:ascii="Arial" w:hAnsi="Arial" w:cs="Arial"/>
          <w:b/>
          <w:bCs/>
        </w:rPr>
      </w:pPr>
    </w:p>
    <w:p w14:paraId="20C5797E" w14:textId="446399E5" w:rsidR="00442A8B" w:rsidRDefault="00442A8B" w:rsidP="00442A8B">
      <w:pPr>
        <w:rPr>
          <w:rFonts w:ascii="Arial" w:hAnsi="Arial" w:cs="Arial"/>
          <w:b/>
          <w:bCs/>
        </w:rPr>
      </w:pPr>
      <w:r w:rsidRPr="00DE3738">
        <w:rPr>
          <w:rFonts w:ascii="Arial" w:hAnsi="Arial" w:cs="Arial"/>
          <w:b/>
          <w:bCs/>
        </w:rPr>
        <w:lastRenderedPageBreak/>
        <w:t>Study Design</w:t>
      </w:r>
    </w:p>
    <w:p w14:paraId="25FC025C" w14:textId="72FEBB63" w:rsidR="00E13E9B" w:rsidRDefault="00B836D0" w:rsidP="00442A8B">
      <w:pPr>
        <w:rPr>
          <w:rFonts w:ascii="Arial" w:hAnsi="Arial" w:cs="Arial"/>
        </w:rPr>
      </w:pPr>
      <w:r w:rsidRPr="00B836D0">
        <w:rPr>
          <w:rFonts w:ascii="Arial" w:hAnsi="Arial" w:cs="Arial"/>
        </w:rPr>
        <w:t xml:space="preserve">This study will </w:t>
      </w:r>
      <w:r w:rsidR="00253C38">
        <w:rPr>
          <w:rFonts w:ascii="Arial" w:hAnsi="Arial" w:cs="Arial"/>
        </w:rPr>
        <w:t>assemble the clinical data</w:t>
      </w:r>
      <w:r w:rsidR="002A02B2">
        <w:rPr>
          <w:rFonts w:ascii="Arial" w:hAnsi="Arial" w:cs="Arial"/>
        </w:rPr>
        <w:t xml:space="preserve"> of </w:t>
      </w:r>
      <w:r w:rsidR="00D1728A">
        <w:rPr>
          <w:rFonts w:ascii="Arial" w:hAnsi="Arial" w:cs="Arial"/>
        </w:rPr>
        <w:t xml:space="preserve">MM patients receiving daratumumab and relevant agents. </w:t>
      </w:r>
      <w:r w:rsidR="0041663A">
        <w:rPr>
          <w:rFonts w:ascii="Arial" w:hAnsi="Arial" w:cs="Arial"/>
        </w:rPr>
        <w:t xml:space="preserve">HTE analyses will be performed </w:t>
      </w:r>
      <w:r w:rsidR="00253C38">
        <w:rPr>
          <w:rFonts w:ascii="Arial" w:hAnsi="Arial" w:cs="Arial"/>
        </w:rPr>
        <w:t>to identify potential prognostic and predictive factors that influence MM patient response and survival</w:t>
      </w:r>
      <w:r w:rsidRPr="00B836D0">
        <w:rPr>
          <w:rFonts w:ascii="Arial" w:hAnsi="Arial" w:cs="Arial"/>
        </w:rPr>
        <w:t xml:space="preserve">. </w:t>
      </w:r>
      <w:r w:rsidR="00B0320A">
        <w:rPr>
          <w:rFonts w:ascii="Arial" w:hAnsi="Arial" w:cs="Arial"/>
        </w:rPr>
        <w:t xml:space="preserve">Several strategies, including </w:t>
      </w:r>
      <w:r w:rsidR="00FE1166">
        <w:rPr>
          <w:rFonts w:ascii="Arial" w:hAnsi="Arial" w:cs="Arial"/>
        </w:rPr>
        <w:t xml:space="preserve">conventional subgroup HTE approach, </w:t>
      </w:r>
      <w:r w:rsidR="00B0320A">
        <w:rPr>
          <w:rFonts w:ascii="Arial" w:hAnsi="Arial" w:cs="Arial"/>
        </w:rPr>
        <w:t xml:space="preserve">risk-based </w:t>
      </w:r>
      <w:r w:rsidR="001E3D3D">
        <w:rPr>
          <w:rFonts w:ascii="Arial" w:hAnsi="Arial" w:cs="Arial"/>
        </w:rPr>
        <w:t xml:space="preserve">HTE approach, </w:t>
      </w:r>
      <w:r w:rsidR="00FE1166">
        <w:rPr>
          <w:rFonts w:ascii="Arial" w:hAnsi="Arial" w:cs="Arial"/>
        </w:rPr>
        <w:t xml:space="preserve">and </w:t>
      </w:r>
      <w:r w:rsidR="001E3D3D">
        <w:rPr>
          <w:rFonts w:ascii="Arial" w:hAnsi="Arial" w:cs="Arial"/>
        </w:rPr>
        <w:t>effect-based HTE approach</w:t>
      </w:r>
      <w:r w:rsidR="006B32C1">
        <w:rPr>
          <w:rFonts w:ascii="Arial" w:hAnsi="Arial" w:cs="Arial"/>
        </w:rPr>
        <w:fldChar w:fldCharType="begin"/>
      </w:r>
      <w:r w:rsidR="006B32C1">
        <w:rPr>
          <w:rFonts w:ascii="Arial" w:hAnsi="Arial" w:cs="Arial"/>
        </w:rPr>
        <w:instrText xml:space="preserve"> ADDIN ZOTERO_ITEM CSL_CITATION {"citationID":"L1RzkG7K","properties":{"formattedCitation":"\\super 4\\nosupersub{}","plainCitation":"4","noteIndex":0},"citationItems":[{"id":5580,"uris":["http://zotero.org/users/9693191/items/CGY32SC3"],"itemData":{"id":5580,"type":"article-journal","abstract":"OBJECTIVE To evaluate HTE of therapeutic-dose heparin for patients hospitalized for COVID-19 and to compare approaches to assessing HTE. DESIGN, SETTING, AND PARTICIPANTS Exploratory analysis of a multiplatform adaptive RCT of therapeutic-dose heparin vs usual care pharmacologic thromboprophylaxis in 3320 patients hospitalized for COVID-19 enrolled in North America, South America, Europe, Asia, and Australia between April 2020 and January 2021. Heterogeneity of treatment effect was assessed 3 ways: using (1) conventional subgroup analyses of baseline characteristics, (2) a multivariable outcome prediction model (risk-based approach), and (3) a multivariable causal forest model (effect-based approach). Analyses primarily used bayesian statistics, consistent with the original trial. EXPOSURES Participants were randomized to therapeutic-dose heparin or usual care pharmacologic thromboprophylaxis. MAIN OUTCOMES AND MEASURES Organ support–free days, assigning a value of −1 to those who died in the hospital and the number of days free of cardiovascular or respiratory organ support up to day 21 for those who survived to hospital discharge; and hospital survival.\nRESULTS Baseline demographic characteristics were similar between patients randomized to therapeutic-dose heparin or usual care (median age, 60 years; 38% female; 32% known non-White race; 45% Hispanic). In the overall multiplatform RCT population, therapeutic-dose heparin was not associated with an increase in organ support–free days (median value for the posterior distribution of the OR, 1.05; 95% credible interval, 0.91-1.22). In conventional subgroup analyses, the effect of therapeutic-dose heparin on organ support–free days differed between patients requiring organ support at baseline or not (median OR, 0.85 vs 1.30; posterior probability of difference in OR, 99.8%), between females and males (median OR, 0.87 vs 1.16; posterior probability of difference in OR, 96.4%), and between patients with lower body mass index (BMI &lt;30) vs higher BMI groups (BMI Ն30; posterior probability of difference in ORs &gt;90% for all comparisons). In risk-based analysis, patients at lowest risk of poor outcome had the highest propensity for benefit from heparin (lowest risk decile: posterior probability of OR &gt;1, 92%) while those at highest risk were most likely to be harmed (highest risk decile: posterior probability of OR &lt;1, 87%). In effect-based analysis, a subset of patients identified at high risk of harm (P = .05 for difference in treatment effect) tended to have high BMI and were more likely to require organ support at baseline.\nCONCLUSIONS AND RELEVANCE Among patients hospitalized for COVID-19, the effect of therapeutic-dose heparin was heterogeneous. In all 3 approaches to assessing HTE, heparin was more likely to be beneficial in those who were less severely ill at presentation or had lower BMI and more likely to be harmful in sicker patients and those with higher BMI. The findings illustrate the importance of considering HTE in the design and analysis of RCTs.","container-title":"JAMA","DOI":"10.1001/jama.2023.3651","ISSN":"0098-7484","issue":"13","journalAbbreviation":"JAMA","language":"en","page":"1066","source":"DOI.org (Crossref)","title":"Heterogeneous Treatment Effects of Therapeutic-Dose Heparin in Patients Hospitalized for COVID-19","volume":"329","author":[{"family":"Goligher","given":"Ewan C."},{"family":"Lawler","given":"Patrick R."},{"family":"Jensen","given":"Thomas P."},{"family":"Talisa","given":"Victor"},{"family":"Berry","given":"Lindsay R."},{"family":"Lorenzi","given":"Elizabeth"},{"family":"McVerry","given":"Bryan J."},{"family":"Chang","given":"Chung-Chou Ho"},{"family":"Leifer","given":"Eric"},{"family":"Bradbury","given":"Charlotte"},{"family":"Berger","given":"Jeffrey"},{"family":"Hunt","given":"Beverly J."},{"family":"Castellucci","given":"Lana A."},{"family":"Kornblith","given":"Lucy Z."},{"family":"Gordon","given":"Anthony C."},{"family":"McArthur","given":"Colin"},{"family":"Webb","given":"Steven"},{"family":"Hochman","given":"Judith"},{"family":"Neal","given":"Matthew D."},{"family":"Zarychanski","given":"Ryan"},{"family":"Berry","given":"Scott"},{"family":"Angus","given":"Derek C."},{"literal":"REMAP-CAP, ATTACC, and ACTIV-4a Investigators"},{"family":"Aday","given":"Aaron"},{"family":"Ahuja","given":"Tania"},{"family":"Al-Beidh","given":"Farah"},{"family":"Angus","given":"Derek C."},{"family":"Annane","given":"Djillali"},{"family":"Arabi","given":"Yaseen M."},{"family":"Aryal","given":"Diptesh"},{"family":"Baumann Kreuziger","given":"Lisa"},{"family":"Beane","given":"Abigail"},{"family":"Berger","given":"Jeffrey S."},{"family":"Berry","given":"Scott M."},{"family":"Berry","given":"Lindsay R."},{"family":"Bhimani","given":"Zahra"},{"family":"Bihari","given":"Shailesh"},{"family":"Billett","given":"Henny H."},{"family":"Bond","given":"Lindsay"},{"family":"Bonten","given":"Marc"},{"family":"Bradbury","given":"Charlotte Ann"},{"family":"Brooks","given":"Maria M."},{"family":"Brunkhorst","given":"Frank"},{"family":"Buxton","given":"Meredith"},{"family":"Buzgau","given":"Adrian"},{"family":"Carrier","given":"Marc"},{"family":"Castelucci","given":"Lana A."},{"family":"Chekuri","given":"Sweta"},{"family":"Chen","given":"Jen-Ting"},{"family":"Cheng","given":"Allen C."},{"family":"Chkhikvadze","given":"Tamta"},{"family":"Coiffard","given":"Benjamin"},{"family":"Contreras","given":"Aira"},{"family":"Costantini","given":"Todd W."},{"family":"Cushman","given":"Mary"},{"family":"De Brouwer","given":"Sophie"},{"family":"Derde","given":"Lennie P.G."},{"family":"Detry","given":"Michelle A."},{"family":"Duggal","given":"Abhijit"},{"family":"Džavík","given":"Vladimir"},{"family":"Effron","given":"Mark B."},{"family":"Eng","given":"Heather F."},{"family":"Escobedo","given":"Jorge"},{"family":"Estcourt","given":"Lise J."},{"family":"Everett","given":"Brendan M."},{"family":"Farkough","given":"Micheal E."},{"family":"Fergusson","given":"Dean A."},{"family":"Fitzgerald","given":"Mark"},{"family":"Fowler","given":"Rob A."},{"family":"Froess","given":"Joshua D."},{"family":"Fu","given":"Zhuxuan"},{"family":"Galanaud","given":"Jean-Philippe"},{"family":"Galen","given":"Benjamin T."},{"family":"Gandotra","given":"Sheetal"},{"family":"Girard","given":"Timothy D."},{"family":"Godoy","given":"Lucus D."},{"family":"Goligher","given":"Ewan C."},{"family":"Gong","given":"Michelle Ng"},{"family":"Goodman","given":"Andrew L."},{"family":"Goossens","given":"Herman"},{"family":"Gordon","given":"Anthony C."},{"family":"Green","given":"Cameron"},{"family":"Greenstein","given":"Yonatan Y."},{"family":"Gross","given":"Peter L."},{"family":"Guerrero","given":"Raquel Morillo"},{"family":"Hamburg","given":"Naomi"},{"family":"Haniffa","given":"Rashan"},{"family":"Hanna","given":"George"},{"family":"Hanna","given":"Nicholas"},{"family":"Hedge","given":"Sheila M."},{"family":"Hendrickson","given":"Carolyn M."},{"family":"Higgins","given":"Alisa M."},{"family":"Hindenburg","given":"Alexander A."},{"family":"Hite","given":"Robert Duncan"},{"family":"Hochman","given":"Judith S."},{"family":"Hope","given":"Aluko A."},{"family":"Horowitz","given":"James M."},{"family":"Horvat","given":"Christopher M."},{"family":"Houston","given":"Brett  L."},{"family":"Huang","given":"David T."},{"family":"Hudock","given":"Kristin"},{"family":"Hunt","given":"Beverley J."},{"family":"Husain","given":"Mansoor"},{"family":"Hyzy","given":"Robert C."},{"family":"Iyer","given":"Vivek"},{"family":"Jacobson","given":"Jeff R."},{"family":"Jayakumar","given":"Devachandran"},{"family":"Kahn","given":"Susan R."},{"family":"Keller","given":"Norma M."},{"family":"Khan","given":"Akram"},{"family":"Kim","given":"Yuri"},{"family":"Kim","given":"Keri S."},{"family":"Kindzelski","given":"Andrei"},{"family":"King","given":"Andrew J."},{"family":"Kirwan","given":"Bridget-Anne"},{"family":"Knudson","given":"M. Margaret"},{"family":"Kornblith","given":"Lucy Z."},{"family":"Kornblith","given":"Aaron E."},{"family":"Krishnan","given":"Vidya"},{"family":"Kumar","given":"Anand"},{"family":"Kutcher","given":"Matthew E."},{"family":"Laffan","given":"Michael A."},{"family":"Lamontagne","given":"Francois"},{"family":"Lawler","given":"Patrick R."},{"family":"Le Gal","given":"Gregoire"},{"family":"Leeper","given":"Christine M."},{"family":"Leifer","given":"Eric S."},{"family":"Lewis","given":"Roger J."},{"family":"Lim","given":"George"},{"family":"Lima","given":"Felipe Gallego"},{"family":"Linstrum","given":"Kelsey"},{"family":"Litton","given":"Edward"},{"family":"Lopez-Sendon","given":"Jose"},{"family":"Lopez-Sendon Moreno","given":"Jose Luis"},{"family":"Lorenzi","given":"Elizabeth"},{"family":"Lother","given":"Sylvain A."},{"family":"Madrona","given":"Sebastian García"},{"family":"Malhotra","given":"Saurabh"},{"family":"Marcos Martin","given":"Miguel"},{"family":"Marshall","given":"John C."},{"family":"Marten","given":"Nicole"},{"family":"Martinez","given":"Andrea Saud"},{"family":"Martinez","given":"Mary"},{"family":"Mateos Garcia","given":"Eduardo"},{"family":"Matthay","given":"Michael A."},{"family":"Mavromichalis","given":"Stephanie"},{"family":"McArthur","given":"Colin J."},{"family":"McAuley","given":"Daniel F."},{"family":"McDonald","given":"Emily G."},{"family":"McGlothlin","given":"Anna"},{"family":"McGuinness","given":"Shay P."},{"family":"McQuilten","given":"Zoe K."},{"family":"McVerry","given":"Bryan J."},{"family":"Middeldorp","given":"Saskia"},{"family":"Montgomery","given":"Stephanie K."},{"family":"Moore","given":"Steven C."},{"family":"Mouncey","given":"Paul R."},{"family":"Murthy","given":"Srinivas"},{"family":"Nair","given":"Girish B."},{"family":"Nair","given":"Rahul"},{"family":"Neal","given":"Matthew D."},{"family":"Nichol","given":"Alistair D."},{"family":"Nicolau","given":"Jose C."},{"family":"Nunez-Garcia","given":"Brenda"},{"family":"Pandey","given":"Ambarish"},{"family":"Park","given":"John J."},{"family":"Park","given":"Pauline K."},{"family":"Parke","given":"Rachael L."},{"family":"Parker","given":"Jane C."},{"family":"Parnia","given":"Sam"},{"family":"Paul","given":"Jonathan D."},{"family":"Pompilio","given":"Mauricio"},{"family":"Prekker","given":"Matt"},{"family":"Quigley","given":"John G."},{"family":"Reynolds","given":"Harmony R."},{"family":"Rosenson","given":"Robert S."},{"family":"Rost","given":"Natalia S."},{"family":"Rowan","given":"Kathryn"},{"family":"Santos","given":"Mayler Olombrada"},{"family":"Santos","given":"Fernanda O."},{"family":"Santos","given":"Marlene"},{"family":"Satterwhite","given":"Lewis"},{"family":"Saunders","given":"Christina T."},{"family":"Schreiber","given":"Jake"},{"family":"Schutgens","given":"Roger E.G."},{"family":"Seymour","given":"Christopher W."},{"family":"Shankar Hari","given":"Manu"},{"family":"Sheehan","given":"John P."},{"family":"Siegal","given":"Deborah M."},{"family":"Silva Jr.","given":"Delcio Goncalves"},{"family":"Singhal","given":"Aneesh B."},{"family":"Slutsky","given":"Arthur S."},{"family":"Solvason","given":"Dayna"},{"family":"Stanworth","given":"Simon J."},{"family":"Tritschler","given":"Tobias"},{"family":"Turgeon","given":"Alexis F."},{"family":"Turner","given":"Anne M."},{"family":"Van Bentum-Puijk","given":"Wilma"},{"family":"Van De Veerdonk","given":"Frank L."},{"family":"Van Diepen","given":"Sean"},{"family":"Vazquez Grande","given":"Gloria"},{"family":"Wahid","given":"Lana"},{"family":"Wareham","given":"Vanessa"},{"family":"Webb","given":"Steve A."},{"family":"Wells","given":"Bryan"},{"family":"Widmer","given":"R. Jay"},{"family":"Wilson","given":"Jennifer G."},{"family":"Yuriditsky","given":"Eugene"},{"family":"Zampieri","given":"Fernando"},{"family":"Zarychanski","given":"Ryan"},{"family":"Zhong","given":"Yongqi"}],"issued":{"date-parts":[["2023",4,4]]},"citation-key":"goligherHeterogeneousTreatmentEffects2023"}}],"schema":"https://github.com/citation-style-language/schema/raw/master/csl-citation.json"} </w:instrText>
      </w:r>
      <w:r w:rsidR="006B32C1">
        <w:rPr>
          <w:rFonts w:ascii="Arial" w:hAnsi="Arial" w:cs="Arial"/>
        </w:rPr>
        <w:fldChar w:fldCharType="separate"/>
      </w:r>
      <w:r w:rsidR="006B32C1" w:rsidRPr="006B32C1">
        <w:rPr>
          <w:rFonts w:ascii="Arial" w:hAnsi="Arial" w:cs="Arial"/>
          <w:kern w:val="0"/>
          <w:szCs w:val="24"/>
          <w:vertAlign w:val="superscript"/>
        </w:rPr>
        <w:t>4</w:t>
      </w:r>
      <w:r w:rsidR="006B32C1">
        <w:rPr>
          <w:rFonts w:ascii="Arial" w:hAnsi="Arial" w:cs="Arial"/>
        </w:rPr>
        <w:fldChar w:fldCharType="end"/>
      </w:r>
      <w:r w:rsidR="00B0320A">
        <w:rPr>
          <w:rFonts w:ascii="Arial" w:hAnsi="Arial" w:cs="Arial"/>
        </w:rPr>
        <w:t xml:space="preserve">, </w:t>
      </w:r>
      <w:r w:rsidR="009E6B42">
        <w:rPr>
          <w:rFonts w:ascii="Arial" w:hAnsi="Arial" w:cs="Arial"/>
        </w:rPr>
        <w:t>will be employed</w:t>
      </w:r>
      <w:r w:rsidR="002C78BE">
        <w:rPr>
          <w:rFonts w:ascii="Arial" w:hAnsi="Arial" w:cs="Arial"/>
        </w:rPr>
        <w:t xml:space="preserve"> to subgroup patients and evaluate treatment effects</w:t>
      </w:r>
      <w:r w:rsidR="007227CD">
        <w:rPr>
          <w:rFonts w:ascii="Arial" w:hAnsi="Arial" w:cs="Arial"/>
        </w:rPr>
        <w:t xml:space="preserve">. </w:t>
      </w:r>
      <w:r w:rsidR="008F1699">
        <w:rPr>
          <w:rFonts w:ascii="Arial" w:hAnsi="Arial" w:cs="Arial"/>
        </w:rPr>
        <w:t xml:space="preserve">The D-R relationship of daratumumab will be analyzed within subgroups. </w:t>
      </w:r>
    </w:p>
    <w:p w14:paraId="497C57E9" w14:textId="3167C6E4" w:rsidR="001878C9" w:rsidRDefault="00B836D0" w:rsidP="00290139">
      <w:pPr>
        <w:ind w:firstLine="720"/>
        <w:rPr>
          <w:rFonts w:ascii="Arial" w:hAnsi="Arial" w:cs="Arial"/>
        </w:rPr>
      </w:pPr>
      <w:r w:rsidRPr="00B836D0">
        <w:rPr>
          <w:rFonts w:ascii="Arial" w:hAnsi="Arial" w:cs="Arial"/>
        </w:rPr>
        <w:t>The dataset</w:t>
      </w:r>
      <w:r w:rsidR="00253C38">
        <w:rPr>
          <w:rFonts w:ascii="Arial" w:hAnsi="Arial" w:cs="Arial"/>
        </w:rPr>
        <w:t>s</w:t>
      </w:r>
      <w:r w:rsidRPr="00B836D0">
        <w:rPr>
          <w:rFonts w:ascii="Arial" w:hAnsi="Arial" w:cs="Arial"/>
        </w:rPr>
        <w:t xml:space="preserve"> </w:t>
      </w:r>
      <w:r w:rsidR="00253C38">
        <w:rPr>
          <w:rFonts w:ascii="Arial" w:hAnsi="Arial" w:cs="Arial"/>
        </w:rPr>
        <w:t xml:space="preserve">we request are preferably to </w:t>
      </w:r>
      <w:r w:rsidRPr="00B836D0">
        <w:rPr>
          <w:rFonts w:ascii="Arial" w:hAnsi="Arial" w:cs="Arial"/>
        </w:rPr>
        <w:t>include detailed information on</w:t>
      </w:r>
      <w:r w:rsidR="00253C38">
        <w:rPr>
          <w:rFonts w:ascii="Arial" w:hAnsi="Arial" w:cs="Arial"/>
        </w:rPr>
        <w:t xml:space="preserve"> patient demographic characteristics, disease/treatment history, toxicity </w:t>
      </w:r>
      <w:r w:rsidR="008F1954">
        <w:rPr>
          <w:rFonts w:ascii="Arial" w:hAnsi="Arial" w:cs="Arial"/>
        </w:rPr>
        <w:t>profiles</w:t>
      </w:r>
      <w:r w:rsidR="00253C38">
        <w:rPr>
          <w:rFonts w:ascii="Arial" w:hAnsi="Arial" w:cs="Arial"/>
        </w:rPr>
        <w:t>, and clinical outcomes. T</w:t>
      </w:r>
      <w:r w:rsidRPr="00B836D0">
        <w:rPr>
          <w:rFonts w:ascii="Arial" w:hAnsi="Arial" w:cs="Arial"/>
        </w:rPr>
        <w:t>he pharmacokinetics</w:t>
      </w:r>
      <w:r w:rsidR="00253C38">
        <w:rPr>
          <w:rFonts w:ascii="Arial" w:hAnsi="Arial" w:cs="Arial"/>
        </w:rPr>
        <w:t xml:space="preserve"> data</w:t>
      </w:r>
      <w:r w:rsidRPr="00B836D0">
        <w:rPr>
          <w:rFonts w:ascii="Arial" w:hAnsi="Arial" w:cs="Arial"/>
        </w:rPr>
        <w:t xml:space="preserve"> of daratumumab</w:t>
      </w:r>
      <w:r w:rsidR="00253C38">
        <w:rPr>
          <w:rFonts w:ascii="Arial" w:hAnsi="Arial" w:cs="Arial"/>
        </w:rPr>
        <w:t>, if any, are also desirable</w:t>
      </w:r>
      <w:r w:rsidRPr="00B836D0">
        <w:rPr>
          <w:rFonts w:ascii="Arial" w:hAnsi="Arial" w:cs="Arial"/>
        </w:rPr>
        <w:t>.</w:t>
      </w:r>
    </w:p>
    <w:p w14:paraId="39BE894B" w14:textId="77777777" w:rsidR="00B836D0" w:rsidRDefault="00B836D0" w:rsidP="00442A8B">
      <w:pPr>
        <w:rPr>
          <w:rFonts w:ascii="Arial" w:hAnsi="Arial" w:cs="Arial"/>
          <w:b/>
          <w:bCs/>
        </w:rPr>
      </w:pPr>
    </w:p>
    <w:p w14:paraId="52D28BBF" w14:textId="15594DEC" w:rsidR="00442A8B" w:rsidRPr="00517AD1" w:rsidRDefault="00442A8B" w:rsidP="00442A8B">
      <w:pPr>
        <w:rPr>
          <w:rFonts w:ascii="Arial" w:hAnsi="Arial" w:cs="Arial"/>
          <w:b/>
          <w:bCs/>
        </w:rPr>
      </w:pPr>
      <w:r w:rsidRPr="00517AD1">
        <w:rPr>
          <w:rFonts w:ascii="Arial" w:hAnsi="Arial" w:cs="Arial"/>
          <w:b/>
          <w:bCs/>
        </w:rPr>
        <w:t>Purpose of Analysis</w:t>
      </w:r>
    </w:p>
    <w:p w14:paraId="2125512B" w14:textId="3696CD83" w:rsidR="007D356B" w:rsidRDefault="00777B2F" w:rsidP="00442A8B">
      <w:pPr>
        <w:rPr>
          <w:rFonts w:ascii="Arial" w:hAnsi="Arial" w:cs="Arial"/>
        </w:rPr>
      </w:pPr>
      <w:r w:rsidRPr="00777B2F">
        <w:rPr>
          <w:rFonts w:ascii="Arial" w:hAnsi="Arial" w:cs="Arial"/>
        </w:rPr>
        <w:t xml:space="preserve">This study seeks to </w:t>
      </w:r>
      <w:r w:rsidR="00E21A30">
        <w:rPr>
          <w:rFonts w:ascii="Arial" w:hAnsi="Arial" w:cs="Arial"/>
        </w:rPr>
        <w:t>i</w:t>
      </w:r>
      <w:r w:rsidR="00E21A30" w:rsidRPr="00E21A30">
        <w:rPr>
          <w:rFonts w:ascii="Arial" w:hAnsi="Arial" w:cs="Arial"/>
        </w:rPr>
        <w:t xml:space="preserve">dentify </w:t>
      </w:r>
      <w:r w:rsidR="00122E39">
        <w:rPr>
          <w:rFonts w:ascii="Arial" w:hAnsi="Arial" w:cs="Arial"/>
        </w:rPr>
        <w:t>critical</w:t>
      </w:r>
      <w:r w:rsidR="00E21A30" w:rsidRPr="00E21A30">
        <w:rPr>
          <w:rFonts w:ascii="Arial" w:hAnsi="Arial" w:cs="Arial"/>
        </w:rPr>
        <w:t xml:space="preserve"> prognostic and predictive factors </w:t>
      </w:r>
      <w:r w:rsidR="00122E39">
        <w:rPr>
          <w:rFonts w:ascii="Arial" w:hAnsi="Arial" w:cs="Arial"/>
        </w:rPr>
        <w:t>affecting</w:t>
      </w:r>
      <w:r w:rsidR="00122E39" w:rsidRPr="00E21A30">
        <w:rPr>
          <w:rFonts w:ascii="Arial" w:hAnsi="Arial" w:cs="Arial"/>
        </w:rPr>
        <w:t xml:space="preserve"> </w:t>
      </w:r>
      <w:r w:rsidR="00E21A30" w:rsidRPr="00E21A30">
        <w:rPr>
          <w:rFonts w:ascii="Arial" w:hAnsi="Arial" w:cs="Arial"/>
        </w:rPr>
        <w:t>MM patient response and survival outco</w:t>
      </w:r>
      <w:r w:rsidR="00E21A30">
        <w:rPr>
          <w:rFonts w:ascii="Arial" w:hAnsi="Arial" w:cs="Arial"/>
        </w:rPr>
        <w:t xml:space="preserve">mes and </w:t>
      </w:r>
      <w:r w:rsidR="003033E4">
        <w:rPr>
          <w:rFonts w:ascii="Arial" w:hAnsi="Arial" w:cs="Arial"/>
        </w:rPr>
        <w:t>derive causal</w:t>
      </w:r>
      <w:r w:rsidR="00253C38">
        <w:rPr>
          <w:rFonts w:ascii="Arial" w:hAnsi="Arial" w:cs="Arial"/>
        </w:rPr>
        <w:t xml:space="preserve"> D</w:t>
      </w:r>
      <w:r w:rsidR="00983FBB">
        <w:rPr>
          <w:rFonts w:ascii="Arial" w:hAnsi="Arial" w:cs="Arial"/>
        </w:rPr>
        <w:t>-</w:t>
      </w:r>
      <w:r w:rsidR="00253C38">
        <w:rPr>
          <w:rFonts w:ascii="Arial" w:hAnsi="Arial" w:cs="Arial"/>
        </w:rPr>
        <w:t>R</w:t>
      </w:r>
      <w:r w:rsidRPr="00777B2F">
        <w:rPr>
          <w:rFonts w:ascii="Arial" w:hAnsi="Arial" w:cs="Arial"/>
        </w:rPr>
        <w:t xml:space="preserve"> relationship</w:t>
      </w:r>
      <w:r w:rsidR="00E21A30">
        <w:rPr>
          <w:rFonts w:ascii="Arial" w:hAnsi="Arial" w:cs="Arial"/>
        </w:rPr>
        <w:t>s</w:t>
      </w:r>
      <w:r w:rsidRPr="00777B2F">
        <w:rPr>
          <w:rFonts w:ascii="Arial" w:hAnsi="Arial" w:cs="Arial"/>
        </w:rPr>
        <w:t xml:space="preserve"> </w:t>
      </w:r>
      <w:r w:rsidR="00253C38">
        <w:rPr>
          <w:rFonts w:ascii="Arial" w:hAnsi="Arial" w:cs="Arial"/>
        </w:rPr>
        <w:t>of</w:t>
      </w:r>
      <w:r w:rsidR="00253C38" w:rsidRPr="00777B2F">
        <w:rPr>
          <w:rFonts w:ascii="Arial" w:hAnsi="Arial" w:cs="Arial"/>
        </w:rPr>
        <w:t xml:space="preserve"> </w:t>
      </w:r>
      <w:r w:rsidRPr="00777B2F">
        <w:rPr>
          <w:rFonts w:ascii="Arial" w:hAnsi="Arial" w:cs="Arial"/>
        </w:rPr>
        <w:t xml:space="preserve">daratumumab </w:t>
      </w:r>
      <w:r w:rsidR="00931F52">
        <w:rPr>
          <w:rFonts w:ascii="Arial" w:hAnsi="Arial" w:cs="Arial"/>
        </w:rPr>
        <w:t>in treatment of</w:t>
      </w:r>
      <w:r w:rsidR="00931F52" w:rsidRPr="00777B2F">
        <w:rPr>
          <w:rFonts w:ascii="Arial" w:hAnsi="Arial" w:cs="Arial"/>
        </w:rPr>
        <w:t xml:space="preserve"> </w:t>
      </w:r>
      <w:r w:rsidR="00931F52">
        <w:rPr>
          <w:rFonts w:ascii="Arial" w:hAnsi="Arial" w:cs="Arial"/>
        </w:rPr>
        <w:t>MM</w:t>
      </w:r>
      <w:r w:rsidRPr="00777B2F">
        <w:rPr>
          <w:rFonts w:ascii="Arial" w:hAnsi="Arial" w:cs="Arial"/>
        </w:rPr>
        <w:t xml:space="preserve">. </w:t>
      </w:r>
    </w:p>
    <w:p w14:paraId="5E68FDFD" w14:textId="77777777" w:rsidR="00777B2F" w:rsidRPr="00F21AE7" w:rsidRDefault="00777B2F" w:rsidP="00442A8B">
      <w:pPr>
        <w:rPr>
          <w:rFonts w:ascii="Arial" w:hAnsi="Arial" w:cs="Arial"/>
        </w:rPr>
      </w:pPr>
    </w:p>
    <w:p w14:paraId="72480855" w14:textId="77777777" w:rsidR="00442A8B" w:rsidRPr="00517AD1" w:rsidRDefault="00442A8B" w:rsidP="00442A8B">
      <w:pPr>
        <w:rPr>
          <w:rFonts w:ascii="Arial" w:hAnsi="Arial" w:cs="Arial"/>
          <w:b/>
          <w:bCs/>
        </w:rPr>
      </w:pPr>
      <w:r w:rsidRPr="00517AD1">
        <w:rPr>
          <w:rFonts w:ascii="Arial" w:hAnsi="Arial" w:cs="Arial"/>
          <w:b/>
          <w:bCs/>
        </w:rPr>
        <w:t>Research Methods</w:t>
      </w:r>
    </w:p>
    <w:p w14:paraId="0BE86A84" w14:textId="6BB85F78" w:rsidR="00B13DF3" w:rsidRPr="00B13DF3" w:rsidRDefault="00B13DF3" w:rsidP="00B13DF3">
      <w:pPr>
        <w:rPr>
          <w:rFonts w:ascii="Arial" w:hAnsi="Arial" w:cs="Arial"/>
        </w:rPr>
      </w:pPr>
      <w:r w:rsidRPr="00B13DF3">
        <w:rPr>
          <w:rFonts w:ascii="Arial" w:hAnsi="Arial" w:cs="Arial"/>
        </w:rPr>
        <w:t xml:space="preserve">To achieve our research </w:t>
      </w:r>
      <w:r w:rsidR="009D0F37">
        <w:rPr>
          <w:rFonts w:ascii="Arial" w:hAnsi="Arial" w:cs="Arial"/>
        </w:rPr>
        <w:t>goals</w:t>
      </w:r>
      <w:r w:rsidRPr="00B13DF3">
        <w:rPr>
          <w:rFonts w:ascii="Arial" w:hAnsi="Arial" w:cs="Arial"/>
        </w:rPr>
        <w:t xml:space="preserve">, </w:t>
      </w:r>
      <w:r w:rsidR="00B41B35">
        <w:rPr>
          <w:rFonts w:ascii="Arial" w:hAnsi="Arial" w:cs="Arial"/>
        </w:rPr>
        <w:t>several analyses will be conducted</w:t>
      </w:r>
      <w:r w:rsidRPr="00B13DF3">
        <w:rPr>
          <w:rFonts w:ascii="Arial" w:hAnsi="Arial" w:cs="Arial"/>
        </w:rPr>
        <w:t>:</w:t>
      </w:r>
    </w:p>
    <w:p w14:paraId="7705B45E" w14:textId="1DEFE3A3" w:rsidR="001B3626" w:rsidRDefault="009A3645" w:rsidP="00B13DF3">
      <w:pPr>
        <w:pStyle w:val="ListParagraph"/>
        <w:numPr>
          <w:ilvl w:val="0"/>
          <w:numId w:val="1"/>
        </w:numPr>
        <w:rPr>
          <w:rFonts w:ascii="Arial" w:hAnsi="Arial" w:cs="Arial"/>
        </w:rPr>
      </w:pPr>
      <w:r>
        <w:rPr>
          <w:rFonts w:ascii="Arial" w:hAnsi="Arial" w:cs="Arial"/>
        </w:rPr>
        <w:t>Data cleaning</w:t>
      </w:r>
      <w:r w:rsidR="007D421F">
        <w:rPr>
          <w:rFonts w:ascii="Arial" w:hAnsi="Arial" w:cs="Arial"/>
        </w:rPr>
        <w:t xml:space="preserve">: </w:t>
      </w:r>
      <w:r w:rsidR="00E21A30">
        <w:rPr>
          <w:rFonts w:ascii="Arial" w:hAnsi="Arial" w:cs="Arial"/>
        </w:rPr>
        <w:t xml:space="preserve">Develop </w:t>
      </w:r>
      <w:r w:rsidR="00716B1D">
        <w:rPr>
          <w:rFonts w:ascii="Arial" w:hAnsi="Arial" w:cs="Arial"/>
        </w:rPr>
        <w:t xml:space="preserve">inclusion/exclusion criteria to </w:t>
      </w:r>
      <w:r w:rsidR="00F45E34">
        <w:rPr>
          <w:rFonts w:ascii="Arial" w:hAnsi="Arial" w:cs="Arial"/>
        </w:rPr>
        <w:t>select patients</w:t>
      </w:r>
      <w:r w:rsidR="002A5EFF">
        <w:rPr>
          <w:rFonts w:ascii="Arial" w:hAnsi="Arial" w:cs="Arial"/>
        </w:rPr>
        <w:t xml:space="preserve"> </w:t>
      </w:r>
      <w:r w:rsidR="00F45E34">
        <w:rPr>
          <w:rFonts w:ascii="Arial" w:hAnsi="Arial" w:cs="Arial"/>
        </w:rPr>
        <w:t>eligible for analyses.</w:t>
      </w:r>
      <w:r w:rsidR="00F45E34" w:rsidDel="00F45E34">
        <w:rPr>
          <w:rFonts w:ascii="Arial" w:hAnsi="Arial" w:cs="Arial"/>
        </w:rPr>
        <w:t xml:space="preserve"> </w:t>
      </w:r>
      <w:r w:rsidR="00A86048" w:rsidRPr="00A86048">
        <w:rPr>
          <w:rFonts w:ascii="Arial" w:hAnsi="Arial" w:cs="Arial"/>
        </w:rPr>
        <w:t>Evaluate the presence of missing data and establish an appropriate methodology for addressing and managing such data gaps.</w:t>
      </w:r>
    </w:p>
    <w:p w14:paraId="44A7CC9A" w14:textId="2350DBE3" w:rsidR="001E2298" w:rsidRDefault="001B3626" w:rsidP="00B13DF3">
      <w:pPr>
        <w:pStyle w:val="ListParagraph"/>
        <w:numPr>
          <w:ilvl w:val="0"/>
          <w:numId w:val="1"/>
        </w:numPr>
        <w:rPr>
          <w:rFonts w:ascii="Arial" w:hAnsi="Arial" w:cs="Arial"/>
        </w:rPr>
      </w:pPr>
      <w:r>
        <w:rPr>
          <w:rFonts w:ascii="Arial" w:hAnsi="Arial" w:cs="Arial"/>
        </w:rPr>
        <w:t xml:space="preserve">Conventional subgroup analyses: </w:t>
      </w:r>
      <w:r w:rsidR="003D43C8">
        <w:rPr>
          <w:rFonts w:ascii="Arial" w:hAnsi="Arial" w:cs="Arial"/>
        </w:rPr>
        <w:t xml:space="preserve">For each potential critical </w:t>
      </w:r>
      <w:r w:rsidR="008426B4">
        <w:rPr>
          <w:rFonts w:ascii="Arial" w:hAnsi="Arial" w:cs="Arial"/>
        </w:rPr>
        <w:t>factor</w:t>
      </w:r>
      <w:r w:rsidR="003D43C8">
        <w:rPr>
          <w:rFonts w:ascii="Arial" w:hAnsi="Arial" w:cs="Arial"/>
        </w:rPr>
        <w:t xml:space="preserve">, </w:t>
      </w:r>
      <w:r w:rsidR="00EC392E">
        <w:rPr>
          <w:rFonts w:ascii="Arial" w:hAnsi="Arial" w:cs="Arial"/>
        </w:rPr>
        <w:t>s</w:t>
      </w:r>
      <w:r w:rsidR="00716BFA">
        <w:rPr>
          <w:rFonts w:ascii="Arial" w:hAnsi="Arial" w:cs="Arial"/>
        </w:rPr>
        <w:t xml:space="preserve">tratify patients </w:t>
      </w:r>
      <w:r w:rsidR="00E77AE7">
        <w:rPr>
          <w:rFonts w:ascii="Arial" w:hAnsi="Arial" w:cs="Arial"/>
        </w:rPr>
        <w:t xml:space="preserve">into subgroups </w:t>
      </w:r>
      <w:r w:rsidR="00576512">
        <w:rPr>
          <w:rFonts w:ascii="Arial" w:hAnsi="Arial" w:cs="Arial"/>
        </w:rPr>
        <w:t>based on the specific factor</w:t>
      </w:r>
      <w:r w:rsidR="008C1C70">
        <w:rPr>
          <w:rFonts w:ascii="Arial" w:hAnsi="Arial" w:cs="Arial"/>
        </w:rPr>
        <w:t xml:space="preserve"> and estimate the treatment effect within </w:t>
      </w:r>
      <w:r w:rsidR="0088232A">
        <w:rPr>
          <w:rFonts w:ascii="Arial" w:hAnsi="Arial" w:cs="Arial"/>
        </w:rPr>
        <w:t xml:space="preserve">each </w:t>
      </w:r>
      <w:r w:rsidR="008C1C70">
        <w:rPr>
          <w:rFonts w:ascii="Arial" w:hAnsi="Arial" w:cs="Arial"/>
        </w:rPr>
        <w:t xml:space="preserve">subgroup. </w:t>
      </w:r>
      <w:r w:rsidR="00985A3B">
        <w:rPr>
          <w:rFonts w:ascii="Arial" w:hAnsi="Arial" w:cs="Arial"/>
        </w:rPr>
        <w:t xml:space="preserve"> </w:t>
      </w:r>
    </w:p>
    <w:p w14:paraId="35F0B195" w14:textId="348D7E83" w:rsidR="001E2298" w:rsidRDefault="00E21A30" w:rsidP="00B13DF3">
      <w:pPr>
        <w:pStyle w:val="ListParagraph"/>
        <w:numPr>
          <w:ilvl w:val="0"/>
          <w:numId w:val="1"/>
        </w:numPr>
        <w:rPr>
          <w:rFonts w:ascii="Arial" w:hAnsi="Arial" w:cs="Arial"/>
        </w:rPr>
      </w:pPr>
      <w:r>
        <w:rPr>
          <w:rFonts w:ascii="Arial" w:hAnsi="Arial" w:cs="Arial"/>
        </w:rPr>
        <w:lastRenderedPageBreak/>
        <w:t>Risk</w:t>
      </w:r>
      <w:r w:rsidR="00907C35">
        <w:rPr>
          <w:rFonts w:ascii="Arial" w:hAnsi="Arial" w:cs="Arial"/>
        </w:rPr>
        <w:t>-based HTE</w:t>
      </w:r>
      <w:r>
        <w:rPr>
          <w:rFonts w:ascii="Arial" w:hAnsi="Arial" w:cs="Arial"/>
        </w:rPr>
        <w:t xml:space="preserve"> </w:t>
      </w:r>
      <w:r w:rsidR="00484A86">
        <w:rPr>
          <w:rFonts w:ascii="Arial" w:hAnsi="Arial" w:cs="Arial"/>
        </w:rPr>
        <w:t>approach</w:t>
      </w:r>
      <w:r w:rsidR="00895E93">
        <w:rPr>
          <w:rFonts w:ascii="Arial" w:hAnsi="Arial" w:cs="Arial"/>
        </w:rPr>
        <w:t>:</w:t>
      </w:r>
      <w:r>
        <w:rPr>
          <w:rFonts w:ascii="Arial" w:hAnsi="Arial" w:cs="Arial"/>
        </w:rPr>
        <w:t xml:space="preserve"> </w:t>
      </w:r>
      <w:r w:rsidR="00B13DF3" w:rsidRPr="001E2298">
        <w:rPr>
          <w:rFonts w:ascii="Arial" w:hAnsi="Arial" w:cs="Arial"/>
        </w:rPr>
        <w:t>Construct a comprehensive risk model that incorporates multiple covariates, including demographics and disease-related variables, to compute personalized risk scores for each patient.</w:t>
      </w:r>
      <w:r w:rsidR="001F3D7C">
        <w:rPr>
          <w:rFonts w:ascii="Arial" w:hAnsi="Arial" w:cs="Arial"/>
        </w:rPr>
        <w:t xml:space="preserve"> Stratify patients into subgroups based on </w:t>
      </w:r>
      <w:r w:rsidR="00CF7222">
        <w:rPr>
          <w:rFonts w:ascii="Arial" w:hAnsi="Arial" w:cs="Arial"/>
        </w:rPr>
        <w:t xml:space="preserve">varying levels of predicted risk scores. </w:t>
      </w:r>
      <w:r w:rsidR="000E788F">
        <w:rPr>
          <w:rFonts w:ascii="Arial" w:hAnsi="Arial" w:cs="Arial"/>
        </w:rPr>
        <w:t xml:space="preserve">Estimate the treatment effect of each subgroup. </w:t>
      </w:r>
    </w:p>
    <w:p w14:paraId="61EE54B8" w14:textId="7B13331A" w:rsidR="001E2298" w:rsidRDefault="00375C28" w:rsidP="00B13DF3">
      <w:pPr>
        <w:pStyle w:val="ListParagraph"/>
        <w:numPr>
          <w:ilvl w:val="0"/>
          <w:numId w:val="1"/>
        </w:numPr>
        <w:rPr>
          <w:rFonts w:ascii="Arial" w:hAnsi="Arial" w:cs="Arial"/>
        </w:rPr>
      </w:pPr>
      <w:r>
        <w:rPr>
          <w:rFonts w:ascii="Arial" w:hAnsi="Arial" w:cs="Arial"/>
        </w:rPr>
        <w:t>Effect-based HTE</w:t>
      </w:r>
      <w:r w:rsidR="00E21A30">
        <w:rPr>
          <w:rFonts w:ascii="Arial" w:hAnsi="Arial" w:cs="Arial"/>
        </w:rPr>
        <w:t xml:space="preserve"> </w:t>
      </w:r>
      <w:r>
        <w:rPr>
          <w:rFonts w:ascii="Arial" w:hAnsi="Arial" w:cs="Arial"/>
        </w:rPr>
        <w:t>approach:</w:t>
      </w:r>
      <w:r w:rsidR="00E21A30">
        <w:rPr>
          <w:rFonts w:ascii="Arial" w:hAnsi="Arial" w:cs="Arial"/>
        </w:rPr>
        <w:t xml:space="preserve"> </w:t>
      </w:r>
      <w:r w:rsidR="00BE068F">
        <w:rPr>
          <w:rFonts w:ascii="Arial" w:hAnsi="Arial" w:cs="Arial"/>
        </w:rPr>
        <w:t xml:space="preserve">Develop a model to predict </w:t>
      </w:r>
      <w:r w:rsidR="0070303B">
        <w:rPr>
          <w:rFonts w:ascii="Arial" w:hAnsi="Arial" w:cs="Arial"/>
        </w:rPr>
        <w:t>treatment effect based on multiple characteristics. Predict the treatment effect for each patient. Stratify patients into subgroups based on their predicted treatment effects. Estimate the real treatment effect for each subgroups.</w:t>
      </w:r>
    </w:p>
    <w:p w14:paraId="045A7048" w14:textId="11F3A9B2" w:rsidR="00B04A61" w:rsidRPr="005437AC" w:rsidRDefault="00021E04" w:rsidP="00290139">
      <w:pPr>
        <w:pStyle w:val="ListParagraph"/>
        <w:numPr>
          <w:ilvl w:val="0"/>
          <w:numId w:val="1"/>
        </w:numPr>
        <w:rPr>
          <w:rFonts w:ascii="Arial" w:hAnsi="Arial" w:cs="Arial"/>
          <w:b/>
          <w:bCs/>
        </w:rPr>
      </w:pPr>
      <w:r w:rsidRPr="005437AC">
        <w:rPr>
          <w:rFonts w:ascii="Arial" w:hAnsi="Arial" w:cs="Arial"/>
        </w:rPr>
        <w:t>Derive c</w:t>
      </w:r>
      <w:r w:rsidR="00E21A30" w:rsidRPr="005437AC">
        <w:rPr>
          <w:rFonts w:ascii="Arial" w:hAnsi="Arial" w:cs="Arial"/>
        </w:rPr>
        <w:t xml:space="preserve">asual </w:t>
      </w:r>
      <w:r w:rsidR="00F856BE" w:rsidRPr="005437AC">
        <w:rPr>
          <w:rFonts w:ascii="Arial" w:hAnsi="Arial" w:cs="Arial"/>
        </w:rPr>
        <w:t>D</w:t>
      </w:r>
      <w:r w:rsidR="00DF23E0" w:rsidRPr="005437AC">
        <w:rPr>
          <w:rFonts w:ascii="Arial" w:hAnsi="Arial" w:cs="Arial"/>
        </w:rPr>
        <w:t>-R</w:t>
      </w:r>
      <w:r w:rsidR="00E21A30" w:rsidRPr="005437AC">
        <w:rPr>
          <w:rFonts w:ascii="Arial" w:hAnsi="Arial" w:cs="Arial"/>
        </w:rPr>
        <w:t xml:space="preserve"> </w:t>
      </w:r>
      <w:r w:rsidRPr="005437AC">
        <w:rPr>
          <w:rFonts w:ascii="Arial" w:hAnsi="Arial" w:cs="Arial"/>
        </w:rPr>
        <w:t>relationships:</w:t>
      </w:r>
      <w:r w:rsidR="00E21A30" w:rsidRPr="005437AC">
        <w:rPr>
          <w:rFonts w:ascii="Arial" w:hAnsi="Arial" w:cs="Arial"/>
        </w:rPr>
        <w:t xml:space="preserve"> </w:t>
      </w:r>
      <w:r w:rsidR="00401895" w:rsidRPr="005437AC">
        <w:rPr>
          <w:rFonts w:ascii="Arial" w:hAnsi="Arial" w:cs="Arial"/>
        </w:rPr>
        <w:t xml:space="preserve">Evaluate </w:t>
      </w:r>
      <w:r w:rsidR="00B13DF3" w:rsidRPr="005437AC">
        <w:rPr>
          <w:rFonts w:ascii="Arial" w:hAnsi="Arial" w:cs="Arial"/>
        </w:rPr>
        <w:t xml:space="preserve">the relationship between daratumumab </w:t>
      </w:r>
      <w:r w:rsidR="00401895" w:rsidRPr="005437AC">
        <w:rPr>
          <w:rFonts w:ascii="Arial" w:hAnsi="Arial" w:cs="Arial"/>
        </w:rPr>
        <w:t>dose/</w:t>
      </w:r>
      <w:r w:rsidR="00B13DF3" w:rsidRPr="005437AC">
        <w:rPr>
          <w:rFonts w:ascii="Arial" w:hAnsi="Arial" w:cs="Arial"/>
        </w:rPr>
        <w:t>exposure and patient response within each subgroup</w:t>
      </w:r>
      <w:r w:rsidR="006812CE" w:rsidRPr="005437AC">
        <w:rPr>
          <w:rFonts w:ascii="Arial" w:hAnsi="Arial" w:cs="Arial"/>
        </w:rPr>
        <w:t xml:space="preserve">. </w:t>
      </w:r>
    </w:p>
    <w:p w14:paraId="1E9EA4F8" w14:textId="77777777" w:rsidR="005437AC" w:rsidRDefault="005437AC" w:rsidP="00442A8B">
      <w:pPr>
        <w:rPr>
          <w:rFonts w:ascii="Arial" w:hAnsi="Arial" w:cs="Arial"/>
          <w:b/>
          <w:bCs/>
        </w:rPr>
      </w:pPr>
    </w:p>
    <w:p w14:paraId="50749EF0" w14:textId="0D4802C3" w:rsidR="00442A8B" w:rsidRPr="00FF0A93" w:rsidRDefault="00442A8B" w:rsidP="00442A8B">
      <w:pPr>
        <w:rPr>
          <w:rFonts w:ascii="Arial" w:hAnsi="Arial" w:cs="Arial"/>
          <w:b/>
          <w:bCs/>
        </w:rPr>
      </w:pPr>
      <w:r w:rsidRPr="00FF0A93">
        <w:rPr>
          <w:rFonts w:ascii="Arial" w:hAnsi="Arial" w:cs="Arial"/>
          <w:b/>
          <w:bCs/>
        </w:rPr>
        <w:t>Software to be used</w:t>
      </w:r>
    </w:p>
    <w:p w14:paraId="5985548B" w14:textId="68EF6735" w:rsidR="00FF0A93" w:rsidRDefault="00623147" w:rsidP="00442A8B">
      <w:pPr>
        <w:rPr>
          <w:rFonts w:ascii="Arial" w:hAnsi="Arial" w:cs="Arial"/>
        </w:rPr>
      </w:pPr>
      <w:r>
        <w:rPr>
          <w:rFonts w:ascii="Arial" w:hAnsi="Arial" w:cs="Arial"/>
        </w:rPr>
        <w:t>R</w:t>
      </w:r>
      <w:r w:rsidR="00584E1C">
        <w:rPr>
          <w:rFonts w:ascii="Arial" w:hAnsi="Arial" w:cs="Arial"/>
        </w:rPr>
        <w:t xml:space="preserve"> and </w:t>
      </w:r>
      <w:r w:rsidR="00D65F7C">
        <w:rPr>
          <w:rFonts w:ascii="Arial" w:hAnsi="Arial" w:cs="Arial"/>
        </w:rPr>
        <w:t>Monolix</w:t>
      </w:r>
    </w:p>
    <w:p w14:paraId="62E2B2C8" w14:textId="77777777" w:rsidR="00F53BBD" w:rsidRPr="00F21AE7" w:rsidRDefault="00F53BBD" w:rsidP="00442A8B">
      <w:pPr>
        <w:rPr>
          <w:rFonts w:ascii="Arial" w:hAnsi="Arial" w:cs="Arial"/>
        </w:rPr>
      </w:pPr>
    </w:p>
    <w:p w14:paraId="250232FB" w14:textId="77777777" w:rsidR="00442A8B" w:rsidRPr="00D11B6A" w:rsidRDefault="00442A8B" w:rsidP="00442A8B">
      <w:pPr>
        <w:rPr>
          <w:rFonts w:ascii="Arial" w:hAnsi="Arial" w:cs="Arial"/>
          <w:b/>
          <w:bCs/>
        </w:rPr>
      </w:pPr>
      <w:r w:rsidRPr="00D11B6A">
        <w:rPr>
          <w:rFonts w:ascii="Arial" w:hAnsi="Arial" w:cs="Arial"/>
          <w:b/>
          <w:bCs/>
        </w:rPr>
        <w:t>Data Source and Inclusion/Exclusion Criteria</w:t>
      </w:r>
    </w:p>
    <w:p w14:paraId="078AE4B9" w14:textId="3FA4BCFF" w:rsidR="00120A8C" w:rsidRDefault="00784709" w:rsidP="00442A8B">
      <w:pPr>
        <w:rPr>
          <w:rFonts w:ascii="Arial" w:hAnsi="Arial" w:cs="Arial"/>
        </w:rPr>
      </w:pPr>
      <w:r>
        <w:rPr>
          <w:rFonts w:ascii="Arial" w:hAnsi="Arial" w:cs="Arial"/>
        </w:rPr>
        <w:t>Adult patients receiving daratumumab</w:t>
      </w:r>
      <w:r w:rsidR="00F4649B">
        <w:rPr>
          <w:rFonts w:ascii="Arial" w:hAnsi="Arial" w:cs="Arial"/>
        </w:rPr>
        <w:t xml:space="preserve"> and/or other relevant agents</w:t>
      </w:r>
      <w:r>
        <w:rPr>
          <w:rFonts w:ascii="Arial" w:hAnsi="Arial" w:cs="Arial"/>
        </w:rPr>
        <w:t xml:space="preserve"> for the treatment </w:t>
      </w:r>
      <w:r w:rsidR="00F4649B">
        <w:rPr>
          <w:rFonts w:ascii="Arial" w:hAnsi="Arial" w:cs="Arial"/>
        </w:rPr>
        <w:t xml:space="preserve">of multiple </w:t>
      </w:r>
      <w:r w:rsidR="009E544B">
        <w:rPr>
          <w:rFonts w:ascii="Arial" w:hAnsi="Arial" w:cs="Arial"/>
        </w:rPr>
        <w:t>myeloma</w:t>
      </w:r>
      <w:r w:rsidR="00CB2312">
        <w:rPr>
          <w:rFonts w:ascii="Arial" w:hAnsi="Arial" w:cs="Arial"/>
        </w:rPr>
        <w:t xml:space="preserve"> from studies </w:t>
      </w:r>
      <w:r w:rsidR="005D6A14" w:rsidRPr="005D6A14">
        <w:rPr>
          <w:rFonts w:ascii="Arial" w:hAnsi="Arial" w:cs="Arial"/>
        </w:rPr>
        <w:t>NCT01615029</w:t>
      </w:r>
      <w:r w:rsidR="005D6A14">
        <w:rPr>
          <w:rFonts w:ascii="Arial" w:hAnsi="Arial" w:cs="Arial"/>
        </w:rPr>
        <w:t xml:space="preserve">, </w:t>
      </w:r>
      <w:r w:rsidR="00CB19C6" w:rsidRPr="00CB19C6">
        <w:rPr>
          <w:rFonts w:ascii="Arial" w:hAnsi="Arial" w:cs="Arial"/>
        </w:rPr>
        <w:t>NCT00574288</w:t>
      </w:r>
      <w:r w:rsidR="00CB19C6">
        <w:rPr>
          <w:rFonts w:ascii="Arial" w:hAnsi="Arial" w:cs="Arial"/>
        </w:rPr>
        <w:t xml:space="preserve">, </w:t>
      </w:r>
      <w:r w:rsidR="00CB19C6" w:rsidRPr="00CB19C6">
        <w:rPr>
          <w:rFonts w:ascii="Arial" w:hAnsi="Arial" w:cs="Arial"/>
        </w:rPr>
        <w:t>NCT03277105</w:t>
      </w:r>
      <w:r w:rsidR="00CB19C6">
        <w:rPr>
          <w:rFonts w:ascii="Arial" w:hAnsi="Arial" w:cs="Arial"/>
        </w:rPr>
        <w:t xml:space="preserve">, </w:t>
      </w:r>
      <w:r w:rsidR="00E97FE7" w:rsidRPr="00E97FE7">
        <w:rPr>
          <w:rFonts w:ascii="Arial" w:hAnsi="Arial" w:cs="Arial"/>
        </w:rPr>
        <w:t>NCT03412565</w:t>
      </w:r>
      <w:r w:rsidR="00AF54DD">
        <w:rPr>
          <w:rFonts w:ascii="Arial" w:hAnsi="Arial" w:cs="Arial"/>
        </w:rPr>
        <w:t xml:space="preserve">, and </w:t>
      </w:r>
      <w:r w:rsidR="00AF54DD" w:rsidRPr="00AF54DD">
        <w:rPr>
          <w:rFonts w:ascii="Arial" w:hAnsi="Arial" w:cs="Arial"/>
        </w:rPr>
        <w:t>NCT01998971</w:t>
      </w:r>
      <w:r w:rsidR="009E544B">
        <w:rPr>
          <w:rFonts w:ascii="Arial" w:hAnsi="Arial" w:cs="Arial"/>
        </w:rPr>
        <w:t>.</w:t>
      </w:r>
      <w:r w:rsidR="00CB2312">
        <w:rPr>
          <w:rFonts w:ascii="Arial" w:hAnsi="Arial" w:cs="Arial"/>
        </w:rPr>
        <w:t xml:space="preserve"> </w:t>
      </w:r>
      <w:r w:rsidR="0029383C">
        <w:rPr>
          <w:rFonts w:ascii="Arial" w:hAnsi="Arial" w:cs="Arial"/>
        </w:rPr>
        <w:t xml:space="preserve">The following </w:t>
      </w:r>
      <w:r w:rsidR="00516C52">
        <w:rPr>
          <w:rFonts w:ascii="Arial" w:hAnsi="Arial" w:cs="Arial"/>
        </w:rPr>
        <w:t xml:space="preserve">variables are requested: </w:t>
      </w:r>
    </w:p>
    <w:p w14:paraId="1A5E3BB9" w14:textId="77777777" w:rsidR="009706E9" w:rsidRDefault="00507AD3" w:rsidP="00507AD3">
      <w:pPr>
        <w:pStyle w:val="ListParagraph"/>
        <w:numPr>
          <w:ilvl w:val="0"/>
          <w:numId w:val="2"/>
        </w:numPr>
        <w:rPr>
          <w:rFonts w:ascii="Arial" w:hAnsi="Arial" w:cs="Arial"/>
        </w:rPr>
      </w:pPr>
      <w:r w:rsidRPr="00290139">
        <w:rPr>
          <w:rFonts w:ascii="Arial" w:hAnsi="Arial" w:cs="Arial"/>
        </w:rPr>
        <w:t>Demographic variables: age, sex, race, height, body weight, ECOG performance-status score, number of lines of previous therapy, hepatic impairment, renal impairment, etc.</w:t>
      </w:r>
    </w:p>
    <w:p w14:paraId="712095B9" w14:textId="77777777" w:rsidR="009706E9" w:rsidRDefault="00507AD3" w:rsidP="00507AD3">
      <w:pPr>
        <w:pStyle w:val="ListParagraph"/>
        <w:numPr>
          <w:ilvl w:val="0"/>
          <w:numId w:val="2"/>
        </w:numPr>
        <w:rPr>
          <w:rFonts w:ascii="Arial" w:hAnsi="Arial" w:cs="Arial"/>
        </w:rPr>
      </w:pPr>
      <w:r w:rsidRPr="00290139">
        <w:rPr>
          <w:rFonts w:ascii="Arial" w:hAnsi="Arial" w:cs="Arial"/>
        </w:rPr>
        <w:t>Disease-related variables: time since diagnosis, extramedullary plasmacytoma, proportion of plasma cells in bone marrow, International Staging System (ISS) class, etc.</w:t>
      </w:r>
    </w:p>
    <w:p w14:paraId="50709DB9" w14:textId="56119062" w:rsidR="00C6349B" w:rsidRPr="00290139" w:rsidRDefault="00507AD3" w:rsidP="00C6349B">
      <w:pPr>
        <w:pStyle w:val="ListParagraph"/>
        <w:numPr>
          <w:ilvl w:val="0"/>
          <w:numId w:val="2"/>
        </w:numPr>
        <w:rPr>
          <w:rFonts w:ascii="Arial" w:hAnsi="Arial" w:cs="Arial"/>
        </w:rPr>
      </w:pPr>
      <w:r w:rsidRPr="00290139">
        <w:rPr>
          <w:rFonts w:ascii="Arial" w:hAnsi="Arial" w:cs="Arial"/>
        </w:rPr>
        <w:t>Treatment-related variables: dos</w:t>
      </w:r>
      <w:r w:rsidR="00176F6A">
        <w:rPr>
          <w:rFonts w:ascii="Arial" w:hAnsi="Arial" w:cs="Arial"/>
        </w:rPr>
        <w:t>age</w:t>
      </w:r>
      <w:r w:rsidRPr="00290139">
        <w:rPr>
          <w:rFonts w:ascii="Arial" w:hAnsi="Arial" w:cs="Arial"/>
        </w:rPr>
        <w:t xml:space="preserve">, dosing </w:t>
      </w:r>
      <w:r w:rsidR="005253D0">
        <w:rPr>
          <w:rFonts w:ascii="Arial" w:hAnsi="Arial" w:cs="Arial"/>
        </w:rPr>
        <w:t>schedule</w:t>
      </w:r>
      <w:r w:rsidRPr="00290139">
        <w:rPr>
          <w:rFonts w:ascii="Arial" w:hAnsi="Arial" w:cs="Arial"/>
        </w:rPr>
        <w:t>, duration of treatment, concomitant medications, etc.</w:t>
      </w:r>
    </w:p>
    <w:p w14:paraId="42CAB859" w14:textId="6B2EAADF" w:rsidR="009706E9" w:rsidRDefault="009706E9">
      <w:pPr>
        <w:pStyle w:val="ListParagraph"/>
        <w:numPr>
          <w:ilvl w:val="0"/>
          <w:numId w:val="2"/>
        </w:numPr>
        <w:rPr>
          <w:rFonts w:ascii="Arial" w:hAnsi="Arial" w:cs="Arial"/>
        </w:rPr>
      </w:pPr>
      <w:r>
        <w:rPr>
          <w:rFonts w:ascii="Arial" w:hAnsi="Arial" w:cs="Arial"/>
        </w:rPr>
        <w:t>Outcome measure: p</w:t>
      </w:r>
      <w:r w:rsidRPr="009706E9">
        <w:rPr>
          <w:rFonts w:ascii="Arial" w:hAnsi="Arial" w:cs="Arial"/>
        </w:rPr>
        <w:t>atient response based on International Myeloma Working Group (IMWG) criteria</w:t>
      </w:r>
      <w:r w:rsidR="00BE0037">
        <w:rPr>
          <w:rFonts w:ascii="Arial" w:hAnsi="Arial" w:cs="Arial"/>
        </w:rPr>
        <w:t xml:space="preserve">, </w:t>
      </w:r>
      <w:r w:rsidR="00BE0037" w:rsidRPr="00BE0037">
        <w:rPr>
          <w:rFonts w:ascii="Arial" w:hAnsi="Arial" w:cs="Arial"/>
        </w:rPr>
        <w:t>Time to progression (TTP), duration of response, progression-free survival (PFS), overall survival (OS)</w:t>
      </w:r>
      <w:r w:rsidR="00BE0037">
        <w:rPr>
          <w:rFonts w:ascii="Arial" w:hAnsi="Arial" w:cs="Arial"/>
        </w:rPr>
        <w:t>, etc.</w:t>
      </w:r>
    </w:p>
    <w:p w14:paraId="16BFF57D" w14:textId="1B0C9B66" w:rsidR="00EA7A57" w:rsidRPr="00290139" w:rsidRDefault="00EA7A57" w:rsidP="00EA7A57">
      <w:pPr>
        <w:pStyle w:val="ListParagraph"/>
        <w:numPr>
          <w:ilvl w:val="0"/>
          <w:numId w:val="2"/>
        </w:numPr>
        <w:rPr>
          <w:rFonts w:ascii="Arial" w:hAnsi="Arial" w:cs="Arial"/>
        </w:rPr>
      </w:pPr>
      <w:r>
        <w:rPr>
          <w:rFonts w:ascii="Arial" w:hAnsi="Arial" w:cs="Arial"/>
        </w:rPr>
        <w:t xml:space="preserve">PK data: daratumumab concentration-time profile. </w:t>
      </w:r>
    </w:p>
    <w:p w14:paraId="76C2C81C" w14:textId="77777777" w:rsidR="004578D9" w:rsidRPr="00F21AE7" w:rsidRDefault="004578D9" w:rsidP="00442A8B">
      <w:pPr>
        <w:rPr>
          <w:rFonts w:ascii="Arial" w:hAnsi="Arial" w:cs="Arial"/>
        </w:rPr>
      </w:pPr>
    </w:p>
    <w:p w14:paraId="606AA032" w14:textId="77777777" w:rsidR="00442A8B" w:rsidRDefault="00442A8B" w:rsidP="00442A8B">
      <w:pPr>
        <w:rPr>
          <w:rFonts w:ascii="Arial" w:hAnsi="Arial" w:cs="Arial"/>
          <w:b/>
          <w:bCs/>
        </w:rPr>
      </w:pPr>
      <w:r w:rsidRPr="00F53BBD">
        <w:rPr>
          <w:rFonts w:ascii="Arial" w:hAnsi="Arial" w:cs="Arial"/>
          <w:b/>
          <w:bCs/>
        </w:rPr>
        <w:t>Primary Outcome Measure</w:t>
      </w:r>
    </w:p>
    <w:p w14:paraId="46041843" w14:textId="5BF24D78" w:rsidR="00232E8A" w:rsidRDefault="00BE4220" w:rsidP="00442A8B">
      <w:pPr>
        <w:rPr>
          <w:rFonts w:ascii="Arial" w:hAnsi="Arial" w:cs="Arial"/>
        </w:rPr>
      </w:pPr>
      <w:r>
        <w:rPr>
          <w:rFonts w:ascii="Arial" w:hAnsi="Arial" w:cs="Arial"/>
        </w:rPr>
        <w:t xml:space="preserve">Patient response </w:t>
      </w:r>
      <w:r w:rsidR="00200DC2">
        <w:rPr>
          <w:rFonts w:ascii="Arial" w:hAnsi="Arial" w:cs="Arial"/>
        </w:rPr>
        <w:t xml:space="preserve">based on </w:t>
      </w:r>
      <w:r w:rsidR="00DC4B27" w:rsidRPr="00DC4B27">
        <w:rPr>
          <w:rFonts w:ascii="Arial" w:hAnsi="Arial" w:cs="Arial"/>
        </w:rPr>
        <w:t>International Myeloma Working Group (IMWG) criteria</w:t>
      </w:r>
    </w:p>
    <w:p w14:paraId="1BA6EFDA" w14:textId="77777777" w:rsidR="001B4A76" w:rsidRPr="00533FBE" w:rsidRDefault="001B4A76" w:rsidP="00442A8B">
      <w:pPr>
        <w:rPr>
          <w:rFonts w:ascii="Arial" w:hAnsi="Arial" w:cs="Arial"/>
        </w:rPr>
      </w:pPr>
    </w:p>
    <w:p w14:paraId="75909645" w14:textId="77777777" w:rsidR="00442A8B" w:rsidRDefault="00442A8B" w:rsidP="00442A8B">
      <w:pPr>
        <w:rPr>
          <w:rFonts w:ascii="Arial" w:hAnsi="Arial" w:cs="Arial"/>
          <w:b/>
          <w:bCs/>
        </w:rPr>
      </w:pPr>
      <w:r w:rsidRPr="00F53BBD">
        <w:rPr>
          <w:rFonts w:ascii="Arial" w:hAnsi="Arial" w:cs="Arial"/>
          <w:b/>
          <w:bCs/>
        </w:rPr>
        <w:t>Secondary Outcome Measure</w:t>
      </w:r>
    </w:p>
    <w:p w14:paraId="5CD8B732" w14:textId="2DCB38CE" w:rsidR="00AB44BC" w:rsidRDefault="00AF5055" w:rsidP="00442A8B">
      <w:pPr>
        <w:rPr>
          <w:rFonts w:ascii="Arial" w:hAnsi="Arial" w:cs="Arial"/>
        </w:rPr>
      </w:pPr>
      <w:r>
        <w:rPr>
          <w:rFonts w:ascii="Arial" w:hAnsi="Arial" w:cs="Arial"/>
        </w:rPr>
        <w:t>Time to progression (TTP)</w:t>
      </w:r>
      <w:r w:rsidR="00C22C3C">
        <w:rPr>
          <w:rFonts w:ascii="Arial" w:hAnsi="Arial" w:cs="Arial"/>
        </w:rPr>
        <w:t>, duration of response, progression-free survival (PFS), overall survival (OS)</w:t>
      </w:r>
      <w:r w:rsidR="0083602E">
        <w:rPr>
          <w:rFonts w:ascii="Arial" w:hAnsi="Arial" w:cs="Arial"/>
        </w:rPr>
        <w:t>, side effects.</w:t>
      </w:r>
    </w:p>
    <w:p w14:paraId="0AFA41DA" w14:textId="77777777" w:rsidR="00081738" w:rsidRPr="00AB44BC" w:rsidRDefault="00081738" w:rsidP="00442A8B">
      <w:pPr>
        <w:rPr>
          <w:rFonts w:ascii="Arial" w:hAnsi="Arial" w:cs="Arial"/>
        </w:rPr>
      </w:pPr>
    </w:p>
    <w:p w14:paraId="46E1DBCA" w14:textId="77777777" w:rsidR="00442A8B" w:rsidRPr="00F53BBD" w:rsidRDefault="00442A8B" w:rsidP="00442A8B">
      <w:pPr>
        <w:rPr>
          <w:rFonts w:ascii="Arial" w:hAnsi="Arial" w:cs="Arial"/>
          <w:b/>
          <w:bCs/>
        </w:rPr>
      </w:pPr>
      <w:r w:rsidRPr="00F53BBD">
        <w:rPr>
          <w:rFonts w:ascii="Arial" w:hAnsi="Arial" w:cs="Arial"/>
          <w:b/>
          <w:bCs/>
        </w:rPr>
        <w:t>Main Predictor/Independent Variable</w:t>
      </w:r>
    </w:p>
    <w:p w14:paraId="6E77D42F" w14:textId="1D2293D6" w:rsidR="00D86171" w:rsidRDefault="00731DE0" w:rsidP="00442A8B">
      <w:pPr>
        <w:rPr>
          <w:rFonts w:ascii="Arial" w:hAnsi="Arial" w:cs="Arial"/>
        </w:rPr>
      </w:pPr>
      <w:r>
        <w:rPr>
          <w:rFonts w:ascii="Arial" w:hAnsi="Arial" w:cs="Arial"/>
        </w:rPr>
        <w:t>Demographic variable</w:t>
      </w:r>
      <w:r w:rsidR="00480DD6">
        <w:rPr>
          <w:rFonts w:ascii="Arial" w:hAnsi="Arial" w:cs="Arial"/>
        </w:rPr>
        <w:t xml:space="preserve">s: </w:t>
      </w:r>
      <w:r>
        <w:rPr>
          <w:rFonts w:ascii="Arial" w:hAnsi="Arial" w:cs="Arial"/>
        </w:rPr>
        <w:t>age, sex, race</w:t>
      </w:r>
      <w:r w:rsidR="007F5731">
        <w:rPr>
          <w:rFonts w:ascii="Arial" w:hAnsi="Arial" w:cs="Arial"/>
        </w:rPr>
        <w:t xml:space="preserve">, </w:t>
      </w:r>
      <w:r w:rsidR="00581234">
        <w:rPr>
          <w:rFonts w:ascii="Arial" w:hAnsi="Arial" w:cs="Arial"/>
        </w:rPr>
        <w:t xml:space="preserve">height, </w:t>
      </w:r>
      <w:r w:rsidR="007F5731">
        <w:rPr>
          <w:rFonts w:ascii="Arial" w:hAnsi="Arial" w:cs="Arial"/>
        </w:rPr>
        <w:t>body weight</w:t>
      </w:r>
      <w:r w:rsidR="009F026D">
        <w:rPr>
          <w:rFonts w:ascii="Arial" w:hAnsi="Arial" w:cs="Arial"/>
        </w:rPr>
        <w:t xml:space="preserve">, </w:t>
      </w:r>
      <w:r w:rsidR="00302384">
        <w:rPr>
          <w:rFonts w:ascii="Arial" w:hAnsi="Arial" w:cs="Arial"/>
        </w:rPr>
        <w:t>ECOG performance-status score,</w:t>
      </w:r>
      <w:r w:rsidR="00F87591">
        <w:rPr>
          <w:rFonts w:ascii="Arial" w:hAnsi="Arial" w:cs="Arial"/>
        </w:rPr>
        <w:t xml:space="preserve"> </w:t>
      </w:r>
      <w:r w:rsidR="00A06FE9">
        <w:rPr>
          <w:rFonts w:ascii="Arial" w:hAnsi="Arial" w:cs="Arial"/>
        </w:rPr>
        <w:t xml:space="preserve">number of lines of previous therapy, </w:t>
      </w:r>
      <w:r w:rsidR="00987F90">
        <w:rPr>
          <w:rFonts w:ascii="Arial" w:hAnsi="Arial" w:cs="Arial"/>
        </w:rPr>
        <w:t xml:space="preserve">hepatic impairment, renal impairment, </w:t>
      </w:r>
      <w:r w:rsidR="009F026D">
        <w:rPr>
          <w:rFonts w:ascii="Arial" w:hAnsi="Arial" w:cs="Arial"/>
        </w:rPr>
        <w:t>etc.</w:t>
      </w:r>
    </w:p>
    <w:p w14:paraId="6C8FFF7B" w14:textId="35C7C5ED" w:rsidR="009F5247" w:rsidRDefault="00FD6F22" w:rsidP="00442A8B">
      <w:pPr>
        <w:rPr>
          <w:rFonts w:ascii="Arial" w:hAnsi="Arial" w:cs="Arial"/>
        </w:rPr>
      </w:pPr>
      <w:r>
        <w:rPr>
          <w:rFonts w:ascii="Arial" w:hAnsi="Arial" w:cs="Arial"/>
        </w:rPr>
        <w:t>Disease-related variables</w:t>
      </w:r>
      <w:r w:rsidR="005A6115">
        <w:rPr>
          <w:rFonts w:ascii="Arial" w:hAnsi="Arial" w:cs="Arial"/>
        </w:rPr>
        <w:t xml:space="preserve">: </w:t>
      </w:r>
      <w:r w:rsidR="002E2F1B">
        <w:rPr>
          <w:rFonts w:ascii="Arial" w:hAnsi="Arial" w:cs="Arial"/>
        </w:rPr>
        <w:t xml:space="preserve">time since diagnosis, </w:t>
      </w:r>
      <w:r w:rsidR="004B529C">
        <w:rPr>
          <w:rFonts w:ascii="Arial" w:hAnsi="Arial" w:cs="Arial"/>
        </w:rPr>
        <w:t>e</w:t>
      </w:r>
      <w:r w:rsidR="004B529C" w:rsidRPr="004B529C">
        <w:rPr>
          <w:rFonts w:ascii="Arial" w:hAnsi="Arial" w:cs="Arial"/>
        </w:rPr>
        <w:t>xtramedullary plasmacytoma</w:t>
      </w:r>
      <w:r w:rsidR="004B529C">
        <w:rPr>
          <w:rFonts w:ascii="Arial" w:hAnsi="Arial" w:cs="Arial"/>
        </w:rPr>
        <w:t xml:space="preserve">, </w:t>
      </w:r>
      <w:r w:rsidR="0014580F">
        <w:rPr>
          <w:rFonts w:ascii="Arial" w:hAnsi="Arial" w:cs="Arial"/>
        </w:rPr>
        <w:t>proportion of p</w:t>
      </w:r>
      <w:r w:rsidR="0014580F" w:rsidRPr="0014580F">
        <w:rPr>
          <w:rFonts w:ascii="Arial" w:hAnsi="Arial" w:cs="Arial"/>
        </w:rPr>
        <w:t>lasma cells in bone marrow</w:t>
      </w:r>
      <w:r w:rsidR="008E4165">
        <w:rPr>
          <w:rFonts w:ascii="Arial" w:hAnsi="Arial" w:cs="Arial"/>
        </w:rPr>
        <w:t xml:space="preserve">, </w:t>
      </w:r>
      <w:r w:rsidR="008E4165" w:rsidRPr="008E4165">
        <w:rPr>
          <w:rFonts w:ascii="Arial" w:hAnsi="Arial" w:cs="Arial"/>
        </w:rPr>
        <w:t>International Staging System</w:t>
      </w:r>
      <w:r w:rsidR="008E4165">
        <w:rPr>
          <w:rFonts w:ascii="Arial" w:hAnsi="Arial" w:cs="Arial"/>
        </w:rPr>
        <w:t xml:space="preserve"> (ISS)</w:t>
      </w:r>
      <w:r w:rsidR="008E4165" w:rsidRPr="008E4165">
        <w:rPr>
          <w:rFonts w:ascii="Arial" w:hAnsi="Arial" w:cs="Arial"/>
        </w:rPr>
        <w:t xml:space="preserve"> class</w:t>
      </w:r>
      <w:r w:rsidR="00A34B8A">
        <w:rPr>
          <w:rFonts w:ascii="Arial" w:hAnsi="Arial" w:cs="Arial"/>
        </w:rPr>
        <w:t>, etc.</w:t>
      </w:r>
    </w:p>
    <w:p w14:paraId="1070451C" w14:textId="10D691A9" w:rsidR="00F85FA5" w:rsidRDefault="00731DE0" w:rsidP="00442A8B">
      <w:pPr>
        <w:rPr>
          <w:rFonts w:ascii="Arial" w:hAnsi="Arial" w:cs="Arial"/>
        </w:rPr>
      </w:pPr>
      <w:r>
        <w:rPr>
          <w:rFonts w:ascii="Arial" w:hAnsi="Arial" w:cs="Arial"/>
        </w:rPr>
        <w:t>Treatment-related variables</w:t>
      </w:r>
      <w:r w:rsidR="005A6115">
        <w:rPr>
          <w:rFonts w:ascii="Arial" w:hAnsi="Arial" w:cs="Arial"/>
        </w:rPr>
        <w:t>:</w:t>
      </w:r>
      <w:r w:rsidR="005E21B5">
        <w:rPr>
          <w:rFonts w:ascii="Arial" w:hAnsi="Arial" w:cs="Arial"/>
        </w:rPr>
        <w:t xml:space="preserve"> dose, dosing frequency, duration of treatment, concomitant medications</w:t>
      </w:r>
      <w:r w:rsidR="00846B04">
        <w:rPr>
          <w:rFonts w:ascii="Arial" w:hAnsi="Arial" w:cs="Arial"/>
        </w:rPr>
        <w:t>, etc.</w:t>
      </w:r>
    </w:p>
    <w:p w14:paraId="3477D600" w14:textId="77777777" w:rsidR="00683381" w:rsidRDefault="00683381" w:rsidP="00683381">
      <w:pPr>
        <w:rPr>
          <w:rFonts w:ascii="Arial" w:hAnsi="Arial" w:cs="Arial"/>
        </w:rPr>
      </w:pPr>
    </w:p>
    <w:p w14:paraId="745984CE" w14:textId="77777777" w:rsidR="00683381" w:rsidRPr="00D86171" w:rsidRDefault="00683381" w:rsidP="00683381">
      <w:pPr>
        <w:rPr>
          <w:rFonts w:ascii="Arial" w:hAnsi="Arial" w:cs="Arial"/>
          <w:b/>
          <w:bCs/>
        </w:rPr>
      </w:pPr>
      <w:r>
        <w:rPr>
          <w:rFonts w:ascii="Arial" w:hAnsi="Arial" w:cs="Arial"/>
          <w:b/>
          <w:bCs/>
        </w:rPr>
        <w:t>Other Variables of Interest</w:t>
      </w:r>
    </w:p>
    <w:p w14:paraId="20A45D6F" w14:textId="77777777" w:rsidR="00683381" w:rsidRDefault="00683381" w:rsidP="00683381">
      <w:pPr>
        <w:rPr>
          <w:rFonts w:ascii="Arial" w:hAnsi="Arial" w:cs="Arial"/>
        </w:rPr>
      </w:pPr>
      <w:r>
        <w:rPr>
          <w:rFonts w:ascii="Arial" w:hAnsi="Arial" w:cs="Arial"/>
        </w:rPr>
        <w:t>Therapeutic exposure</w:t>
      </w:r>
      <w:r>
        <w:rPr>
          <w:rFonts w:ascii="Arial" w:hAnsi="Arial" w:cs="Arial" w:hint="eastAsia"/>
        </w:rPr>
        <w:t>:</w:t>
      </w:r>
      <w:r>
        <w:rPr>
          <w:rFonts w:ascii="Arial" w:hAnsi="Arial" w:cs="Arial"/>
        </w:rPr>
        <w:t xml:space="preserve"> daratumumab dosage, individual concentration-time profiles of daratumumab</w:t>
      </w:r>
    </w:p>
    <w:p w14:paraId="7062B930" w14:textId="77777777" w:rsidR="00683381" w:rsidRDefault="00683381" w:rsidP="008317D2">
      <w:pPr>
        <w:rPr>
          <w:rFonts w:ascii="Arial" w:hAnsi="Arial" w:cs="Arial"/>
        </w:rPr>
      </w:pPr>
    </w:p>
    <w:p w14:paraId="4FD32AE5" w14:textId="7E147491" w:rsidR="008317D2" w:rsidRPr="00EB5143" w:rsidRDefault="008317D2" w:rsidP="008317D2">
      <w:pPr>
        <w:rPr>
          <w:rFonts w:ascii="Arial" w:hAnsi="Arial" w:cs="Arial"/>
          <w:b/>
          <w:bCs/>
        </w:rPr>
      </w:pPr>
      <w:r w:rsidRPr="008317D2">
        <w:rPr>
          <w:rFonts w:ascii="Arial" w:hAnsi="Arial" w:cs="Arial"/>
          <w:b/>
          <w:bCs/>
        </w:rPr>
        <w:t>Statistical Analysis Plan</w:t>
      </w:r>
    </w:p>
    <w:p w14:paraId="15410B8B" w14:textId="71643621" w:rsidR="00475A61" w:rsidRDefault="008317D2" w:rsidP="008317D2">
      <w:pPr>
        <w:rPr>
          <w:rFonts w:ascii="Arial" w:hAnsi="Arial" w:cs="Arial"/>
        </w:rPr>
      </w:pPr>
      <w:r w:rsidRPr="008317D2">
        <w:rPr>
          <w:rFonts w:ascii="Arial" w:hAnsi="Arial" w:cs="Arial"/>
        </w:rPr>
        <w:lastRenderedPageBreak/>
        <w:t xml:space="preserve">The statistical analysis plan for this research project is designed to rigorously evaluate the </w:t>
      </w:r>
      <w:r w:rsidR="005437AC">
        <w:rPr>
          <w:rFonts w:ascii="Arial" w:hAnsi="Arial" w:cs="Arial"/>
        </w:rPr>
        <w:t>dose</w:t>
      </w:r>
      <w:r w:rsidRPr="008317D2">
        <w:rPr>
          <w:rFonts w:ascii="Arial" w:hAnsi="Arial" w:cs="Arial"/>
        </w:rPr>
        <w:t xml:space="preserve">-response relationship of daratumumab in </w:t>
      </w:r>
      <w:r w:rsidR="00B85D54">
        <w:rPr>
          <w:rFonts w:ascii="Arial" w:hAnsi="Arial" w:cs="Arial"/>
        </w:rPr>
        <w:t>treatment of</w:t>
      </w:r>
      <w:r w:rsidRPr="008317D2">
        <w:rPr>
          <w:rFonts w:ascii="Arial" w:hAnsi="Arial" w:cs="Arial"/>
        </w:rPr>
        <w:t xml:space="preserve"> multiple myeloma. It encompasses a comprehensive approach involving various statistical techniques and models to achieve the specific aims of the study. The analysis plan is divided into several key components:</w:t>
      </w:r>
    </w:p>
    <w:p w14:paraId="24C247F7" w14:textId="7C2F68DA" w:rsidR="008317D2" w:rsidRPr="008317D2" w:rsidRDefault="008317D2" w:rsidP="008317D2">
      <w:pPr>
        <w:rPr>
          <w:rFonts w:ascii="Arial" w:hAnsi="Arial" w:cs="Arial"/>
        </w:rPr>
      </w:pPr>
      <w:r w:rsidRPr="008317D2">
        <w:rPr>
          <w:rFonts w:ascii="Arial" w:hAnsi="Arial" w:cs="Arial"/>
        </w:rPr>
        <w:t>Descriptive Statistics:</w:t>
      </w:r>
      <w:r w:rsidR="006B40AD">
        <w:rPr>
          <w:rFonts w:ascii="Arial" w:hAnsi="Arial" w:cs="Arial"/>
        </w:rPr>
        <w:t xml:space="preserve"> </w:t>
      </w:r>
      <w:r w:rsidRPr="008317D2">
        <w:rPr>
          <w:rFonts w:ascii="Arial" w:hAnsi="Arial" w:cs="Arial"/>
        </w:rPr>
        <w:t>Descriptive statistics will be employed to provide an overview of the dataset. This includes summarizing patient demographics, disease characteristics, and the distribution of daratumumab concentrations. We will also examine the distribution of patient response outcomes based on the IMWG criteria and secondary endpoints such as Time to Progression (TTP), Duration of Response, Progression-Free Survival (PFS), and Overall Survival (OS) to gain a preliminary understanding of the data.</w:t>
      </w:r>
    </w:p>
    <w:p w14:paraId="1151FDF5" w14:textId="2B5E6DC0" w:rsidR="008317D2" w:rsidRPr="008317D2" w:rsidRDefault="008317D2" w:rsidP="008317D2">
      <w:pPr>
        <w:rPr>
          <w:rFonts w:ascii="Arial" w:hAnsi="Arial" w:cs="Arial"/>
        </w:rPr>
      </w:pPr>
      <w:r w:rsidRPr="008317D2">
        <w:rPr>
          <w:rFonts w:ascii="Arial" w:hAnsi="Arial" w:cs="Arial"/>
        </w:rPr>
        <w:t>Population Pharmacokinetics (popPK) Model:</w:t>
      </w:r>
      <w:r w:rsidR="00AA5689">
        <w:rPr>
          <w:rFonts w:ascii="Arial" w:hAnsi="Arial" w:cs="Arial"/>
        </w:rPr>
        <w:t xml:space="preserve"> </w:t>
      </w:r>
      <w:r w:rsidRPr="008317D2">
        <w:rPr>
          <w:rFonts w:ascii="Arial" w:hAnsi="Arial" w:cs="Arial"/>
        </w:rPr>
        <w:t>To understand the pharmacokinetic behavior of daratumumab in individual patients, a population pharmacokinetics (popPK) model</w:t>
      </w:r>
      <w:r w:rsidR="002B173D">
        <w:rPr>
          <w:rFonts w:ascii="Arial" w:hAnsi="Arial" w:cs="Arial"/>
        </w:rPr>
        <w:t xml:space="preserve"> which accounts for multiple covariates </w:t>
      </w:r>
      <w:r w:rsidR="00EA395E">
        <w:rPr>
          <w:rFonts w:ascii="Arial" w:hAnsi="Arial" w:cs="Arial"/>
        </w:rPr>
        <w:t xml:space="preserve">will be </w:t>
      </w:r>
      <w:r w:rsidR="00DE2A7E">
        <w:rPr>
          <w:rFonts w:ascii="Arial" w:hAnsi="Arial" w:cs="Arial"/>
        </w:rPr>
        <w:t>employed</w:t>
      </w:r>
      <w:r w:rsidR="00EA395E">
        <w:rPr>
          <w:rFonts w:ascii="Arial" w:hAnsi="Arial" w:cs="Arial"/>
        </w:rPr>
        <w:t xml:space="preserve"> </w:t>
      </w:r>
      <w:r w:rsidR="002B173D">
        <w:rPr>
          <w:rFonts w:ascii="Arial" w:hAnsi="Arial" w:cs="Arial"/>
        </w:rPr>
        <w:t>to characterize the</w:t>
      </w:r>
      <w:r w:rsidRPr="008317D2">
        <w:rPr>
          <w:rFonts w:ascii="Arial" w:hAnsi="Arial" w:cs="Arial"/>
        </w:rPr>
        <w:t xml:space="preserve"> concentration-time profiles</w:t>
      </w:r>
      <w:r w:rsidR="002B173D">
        <w:rPr>
          <w:rFonts w:ascii="Arial" w:hAnsi="Arial" w:cs="Arial"/>
        </w:rPr>
        <w:t xml:space="preserve"> of </w:t>
      </w:r>
      <w:r w:rsidR="002B173D" w:rsidRPr="008317D2">
        <w:rPr>
          <w:rFonts w:ascii="Arial" w:hAnsi="Arial" w:cs="Arial"/>
        </w:rPr>
        <w:t>daratumumab</w:t>
      </w:r>
      <w:r w:rsidR="002B173D">
        <w:rPr>
          <w:rFonts w:ascii="Arial" w:hAnsi="Arial" w:cs="Arial"/>
        </w:rPr>
        <w:t xml:space="preserve"> following administration of specific dos</w:t>
      </w:r>
      <w:r w:rsidR="0095243E">
        <w:rPr>
          <w:rFonts w:ascii="Arial" w:hAnsi="Arial" w:cs="Arial"/>
        </w:rPr>
        <w:t>age</w:t>
      </w:r>
      <w:r w:rsidR="002B173D">
        <w:rPr>
          <w:rFonts w:ascii="Arial" w:hAnsi="Arial" w:cs="Arial"/>
        </w:rPr>
        <w:t>.</w:t>
      </w:r>
    </w:p>
    <w:p w14:paraId="3D58343B" w14:textId="03DBC5EA" w:rsidR="008317D2" w:rsidRDefault="008317D2" w:rsidP="008317D2">
      <w:pPr>
        <w:rPr>
          <w:rFonts w:ascii="Arial" w:hAnsi="Arial" w:cs="Arial"/>
        </w:rPr>
      </w:pPr>
      <w:r w:rsidRPr="008317D2">
        <w:rPr>
          <w:rFonts w:ascii="Arial" w:hAnsi="Arial" w:cs="Arial"/>
        </w:rPr>
        <w:t>Risk Model Development:</w:t>
      </w:r>
      <w:r w:rsidR="00AA5689">
        <w:rPr>
          <w:rFonts w:ascii="Arial" w:hAnsi="Arial" w:cs="Arial"/>
        </w:rPr>
        <w:t xml:space="preserve"> </w:t>
      </w:r>
      <w:r w:rsidR="00C724FD" w:rsidRPr="00C724FD">
        <w:rPr>
          <w:rFonts w:ascii="Arial" w:hAnsi="Arial" w:cs="Arial"/>
        </w:rPr>
        <w:t xml:space="preserve">A logistic regression risk prediction model for </w:t>
      </w:r>
      <w:r w:rsidR="00F3352B">
        <w:rPr>
          <w:rFonts w:ascii="Arial" w:hAnsi="Arial" w:cs="Arial"/>
        </w:rPr>
        <w:t>response</w:t>
      </w:r>
      <w:r w:rsidR="00C724FD" w:rsidRPr="00C724FD">
        <w:rPr>
          <w:rFonts w:ascii="Arial" w:hAnsi="Arial" w:cs="Arial"/>
        </w:rPr>
        <w:t xml:space="preserve"> </w:t>
      </w:r>
      <w:r w:rsidR="00F3352B">
        <w:rPr>
          <w:rFonts w:ascii="Arial" w:hAnsi="Arial" w:cs="Arial"/>
        </w:rPr>
        <w:t>will be developed</w:t>
      </w:r>
      <w:r w:rsidR="00C724FD" w:rsidRPr="00C724FD">
        <w:rPr>
          <w:rFonts w:ascii="Arial" w:hAnsi="Arial" w:cs="Arial"/>
        </w:rPr>
        <w:t xml:space="preserve"> </w:t>
      </w:r>
      <w:r w:rsidR="00F3352B">
        <w:rPr>
          <w:rFonts w:ascii="Arial" w:hAnsi="Arial" w:cs="Arial"/>
        </w:rPr>
        <w:t xml:space="preserve">involving </w:t>
      </w:r>
      <w:r w:rsidR="002E11E5">
        <w:rPr>
          <w:rFonts w:ascii="Arial" w:hAnsi="Arial" w:cs="Arial"/>
        </w:rPr>
        <w:t xml:space="preserve">multiple </w:t>
      </w:r>
      <w:r w:rsidR="00880C44">
        <w:rPr>
          <w:rFonts w:ascii="Arial" w:hAnsi="Arial" w:cs="Arial"/>
        </w:rPr>
        <w:t xml:space="preserve">potential </w:t>
      </w:r>
      <w:r w:rsidR="00C724FD" w:rsidRPr="00C724FD">
        <w:rPr>
          <w:rFonts w:ascii="Arial" w:hAnsi="Arial" w:cs="Arial"/>
        </w:rPr>
        <w:t>risk predictors</w:t>
      </w:r>
      <w:r w:rsidR="00350539">
        <w:rPr>
          <w:rFonts w:ascii="Arial" w:hAnsi="Arial" w:cs="Arial"/>
        </w:rPr>
        <w:t xml:space="preserve"> to compute a risk score for each individual</w:t>
      </w:r>
      <w:r w:rsidR="00781BEE">
        <w:rPr>
          <w:rFonts w:ascii="Arial" w:hAnsi="Arial" w:cs="Arial"/>
        </w:rPr>
        <w:t xml:space="preserve">. </w:t>
      </w:r>
    </w:p>
    <w:p w14:paraId="39A42C56" w14:textId="51DCBC42" w:rsidR="004C5DC8" w:rsidRPr="008317D2" w:rsidRDefault="004C5DC8" w:rsidP="008317D2">
      <w:pPr>
        <w:rPr>
          <w:rFonts w:ascii="Arial" w:hAnsi="Arial" w:cs="Arial"/>
        </w:rPr>
      </w:pPr>
      <w:r>
        <w:rPr>
          <w:rFonts w:ascii="Arial" w:hAnsi="Arial" w:cs="Arial"/>
        </w:rPr>
        <w:t>Effect Model Development</w:t>
      </w:r>
      <w:r w:rsidR="00E6641F">
        <w:rPr>
          <w:rFonts w:ascii="Arial" w:hAnsi="Arial" w:cs="Arial"/>
        </w:rPr>
        <w:t xml:space="preserve">: </w:t>
      </w:r>
      <w:r w:rsidR="00EA67CE">
        <w:rPr>
          <w:rFonts w:ascii="Arial" w:hAnsi="Arial" w:cs="Arial"/>
        </w:rPr>
        <w:t xml:space="preserve">A causal forest model will be developed </w:t>
      </w:r>
      <w:r w:rsidR="00E73C27">
        <w:rPr>
          <w:rFonts w:ascii="Arial" w:hAnsi="Arial" w:cs="Arial"/>
        </w:rPr>
        <w:t xml:space="preserve">using </w:t>
      </w:r>
      <w:r w:rsidR="001E2AC9">
        <w:rPr>
          <w:rFonts w:ascii="Arial" w:hAnsi="Arial" w:cs="Arial"/>
        </w:rPr>
        <w:t>randomly selected</w:t>
      </w:r>
      <w:r w:rsidR="00D96158">
        <w:rPr>
          <w:rFonts w:ascii="Arial" w:hAnsi="Arial" w:cs="Arial"/>
        </w:rPr>
        <w:t xml:space="preserve"> </w:t>
      </w:r>
      <w:r w:rsidR="003D378F">
        <w:rPr>
          <w:rFonts w:ascii="Arial" w:hAnsi="Arial" w:cs="Arial"/>
        </w:rPr>
        <w:t xml:space="preserve">half dataset to predict the treatment effect based on multiple characteristics. </w:t>
      </w:r>
    </w:p>
    <w:p w14:paraId="1359B70C" w14:textId="611B4DFD" w:rsidR="008317D2" w:rsidRPr="008317D2" w:rsidRDefault="008317D2" w:rsidP="008317D2">
      <w:pPr>
        <w:rPr>
          <w:rFonts w:ascii="Arial" w:hAnsi="Arial" w:cs="Arial"/>
        </w:rPr>
      </w:pPr>
      <w:r w:rsidRPr="008317D2">
        <w:rPr>
          <w:rFonts w:ascii="Arial" w:hAnsi="Arial" w:cs="Arial"/>
        </w:rPr>
        <w:t>Subgroup Stratification:</w:t>
      </w:r>
      <w:r w:rsidR="00E8607A">
        <w:rPr>
          <w:rFonts w:ascii="Arial" w:hAnsi="Arial" w:cs="Arial"/>
        </w:rPr>
        <w:t xml:space="preserve"> </w:t>
      </w:r>
      <w:r w:rsidRPr="008317D2">
        <w:rPr>
          <w:rFonts w:ascii="Arial" w:hAnsi="Arial" w:cs="Arial"/>
        </w:rPr>
        <w:t xml:space="preserve">Patients will be stratified into subgroups based on </w:t>
      </w:r>
      <w:r w:rsidR="00E76630">
        <w:rPr>
          <w:rFonts w:ascii="Arial" w:hAnsi="Arial" w:cs="Arial"/>
        </w:rPr>
        <w:t>varying levels of</w:t>
      </w:r>
      <w:r w:rsidRPr="008317D2">
        <w:rPr>
          <w:rFonts w:ascii="Arial" w:hAnsi="Arial" w:cs="Arial"/>
        </w:rPr>
        <w:t xml:space="preserve"> risk scores</w:t>
      </w:r>
      <w:r w:rsidR="0044725B">
        <w:rPr>
          <w:rFonts w:ascii="Arial" w:hAnsi="Arial" w:cs="Arial"/>
        </w:rPr>
        <w:t xml:space="preserve"> or predicted treatment effects</w:t>
      </w:r>
      <w:r w:rsidRPr="008317D2">
        <w:rPr>
          <w:rFonts w:ascii="Arial" w:hAnsi="Arial" w:cs="Arial"/>
        </w:rPr>
        <w:t xml:space="preserve">. </w:t>
      </w:r>
    </w:p>
    <w:p w14:paraId="0DDC49A6" w14:textId="5C1A1E7C" w:rsidR="008317D2" w:rsidRPr="008317D2" w:rsidRDefault="003823F8" w:rsidP="008317D2">
      <w:pPr>
        <w:rPr>
          <w:rFonts w:ascii="Arial" w:hAnsi="Arial" w:cs="Arial"/>
        </w:rPr>
      </w:pPr>
      <w:r>
        <w:rPr>
          <w:rFonts w:ascii="Arial" w:hAnsi="Arial" w:cs="Arial"/>
        </w:rPr>
        <w:t>Dose</w:t>
      </w:r>
      <w:r w:rsidR="008317D2" w:rsidRPr="008317D2">
        <w:rPr>
          <w:rFonts w:ascii="Arial" w:hAnsi="Arial" w:cs="Arial"/>
        </w:rPr>
        <w:t>-Response Analysis:</w:t>
      </w:r>
      <w:r w:rsidR="003F26CC">
        <w:rPr>
          <w:rFonts w:ascii="Arial" w:hAnsi="Arial" w:cs="Arial"/>
        </w:rPr>
        <w:t xml:space="preserve"> </w:t>
      </w:r>
      <w:r w:rsidR="008317D2" w:rsidRPr="008317D2">
        <w:rPr>
          <w:rFonts w:ascii="Arial" w:hAnsi="Arial" w:cs="Arial"/>
        </w:rPr>
        <w:t xml:space="preserve">The primary focus of this research is to investigate the </w:t>
      </w:r>
      <w:r w:rsidR="008E28C8">
        <w:rPr>
          <w:rFonts w:ascii="Arial" w:hAnsi="Arial" w:cs="Arial"/>
        </w:rPr>
        <w:t>dose</w:t>
      </w:r>
      <w:r w:rsidR="008317D2" w:rsidRPr="008317D2">
        <w:rPr>
          <w:rFonts w:ascii="Arial" w:hAnsi="Arial" w:cs="Arial"/>
        </w:rPr>
        <w:t xml:space="preserve">-response relationship of daratumumab within defined subgroups. </w:t>
      </w:r>
      <w:r w:rsidR="00352626">
        <w:rPr>
          <w:rFonts w:ascii="Arial" w:hAnsi="Arial" w:cs="Arial"/>
        </w:rPr>
        <w:t>Logistic</w:t>
      </w:r>
      <w:r w:rsidR="008317D2" w:rsidRPr="008317D2">
        <w:rPr>
          <w:rFonts w:ascii="Arial" w:hAnsi="Arial" w:cs="Arial"/>
        </w:rPr>
        <w:t xml:space="preserve"> regression analyses</w:t>
      </w:r>
      <w:r w:rsidR="00352626">
        <w:rPr>
          <w:rFonts w:ascii="Arial" w:hAnsi="Arial" w:cs="Arial"/>
        </w:rPr>
        <w:t xml:space="preserve"> </w:t>
      </w:r>
      <w:r w:rsidR="008317D2" w:rsidRPr="008317D2">
        <w:rPr>
          <w:rFonts w:ascii="Arial" w:hAnsi="Arial" w:cs="Arial"/>
        </w:rPr>
        <w:t xml:space="preserve">will be employed to evaluate the relationship between daratumumab </w:t>
      </w:r>
      <w:r w:rsidR="00D07C5D">
        <w:rPr>
          <w:rFonts w:ascii="Arial" w:hAnsi="Arial" w:cs="Arial"/>
        </w:rPr>
        <w:t>dose/</w:t>
      </w:r>
      <w:r w:rsidR="008317D2" w:rsidRPr="008317D2">
        <w:rPr>
          <w:rFonts w:ascii="Arial" w:hAnsi="Arial" w:cs="Arial"/>
        </w:rPr>
        <w:t xml:space="preserve">exposure (predicted </w:t>
      </w:r>
      <w:r w:rsidR="001C5374">
        <w:rPr>
          <w:rFonts w:ascii="Arial" w:hAnsi="Arial" w:cs="Arial"/>
        </w:rPr>
        <w:t xml:space="preserve">by </w:t>
      </w:r>
      <w:r w:rsidR="008317D2" w:rsidRPr="008317D2">
        <w:rPr>
          <w:rFonts w:ascii="Arial" w:hAnsi="Arial" w:cs="Arial"/>
        </w:rPr>
        <w:t>the popPK model) and patient response</w:t>
      </w:r>
      <w:bookmarkStart w:id="0" w:name="_GoBack"/>
      <w:bookmarkEnd w:id="0"/>
      <w:r w:rsidR="008317D2" w:rsidRPr="008317D2">
        <w:rPr>
          <w:rFonts w:ascii="Arial" w:hAnsi="Arial" w:cs="Arial"/>
        </w:rPr>
        <w:t xml:space="preserve">. </w:t>
      </w:r>
    </w:p>
    <w:p w14:paraId="54B3AAC5" w14:textId="77777777" w:rsidR="000434C5" w:rsidRDefault="000434C5" w:rsidP="00442A8B">
      <w:pPr>
        <w:rPr>
          <w:rFonts w:ascii="Arial" w:hAnsi="Arial" w:cs="Arial"/>
        </w:rPr>
      </w:pPr>
    </w:p>
    <w:p w14:paraId="3C6A67CD" w14:textId="77777777" w:rsidR="00757B3B" w:rsidRPr="00757B3B" w:rsidRDefault="00757B3B" w:rsidP="00757B3B">
      <w:pPr>
        <w:rPr>
          <w:rFonts w:ascii="Arial" w:hAnsi="Arial" w:cs="Arial"/>
          <w:b/>
          <w:bCs/>
        </w:rPr>
      </w:pPr>
      <w:r w:rsidRPr="00757B3B">
        <w:rPr>
          <w:rFonts w:ascii="Arial" w:hAnsi="Arial" w:cs="Arial"/>
          <w:b/>
          <w:bCs/>
        </w:rPr>
        <w:t>Project Timeline:</w:t>
      </w:r>
    </w:p>
    <w:p w14:paraId="45CE5A1F" w14:textId="24AB5690" w:rsidR="002E1F91" w:rsidRPr="00F21AE7" w:rsidRDefault="00757B3B" w:rsidP="00757B3B">
      <w:pPr>
        <w:rPr>
          <w:rFonts w:ascii="Arial" w:hAnsi="Arial" w:cs="Arial"/>
        </w:rPr>
      </w:pPr>
      <w:r w:rsidRPr="00757B3B">
        <w:rPr>
          <w:rFonts w:ascii="Arial" w:hAnsi="Arial" w:cs="Arial"/>
        </w:rPr>
        <w:lastRenderedPageBreak/>
        <w:t>The project is expected to take 1 year from the date of data access. Estimated start date 1 January 202</w:t>
      </w:r>
      <w:r w:rsidR="007309F6">
        <w:rPr>
          <w:rFonts w:ascii="Arial" w:hAnsi="Arial" w:cs="Arial"/>
        </w:rPr>
        <w:t>4</w:t>
      </w:r>
      <w:r w:rsidRPr="00757B3B">
        <w:rPr>
          <w:rFonts w:ascii="Arial" w:hAnsi="Arial" w:cs="Arial"/>
        </w:rPr>
        <w:t xml:space="preserve"> with all analysis completed by 1 January 202</w:t>
      </w:r>
      <w:r w:rsidR="00D76D37">
        <w:rPr>
          <w:rFonts w:ascii="Arial" w:hAnsi="Arial" w:cs="Arial"/>
        </w:rPr>
        <w:t>5</w:t>
      </w:r>
      <w:r w:rsidRPr="00757B3B">
        <w:rPr>
          <w:rFonts w:ascii="Arial" w:hAnsi="Arial" w:cs="Arial"/>
        </w:rPr>
        <w:t>. Manuscripts will be drafted and submitted</w:t>
      </w:r>
      <w:r w:rsidR="00AF55F6">
        <w:rPr>
          <w:rFonts w:ascii="Arial" w:hAnsi="Arial" w:cs="Arial"/>
        </w:rPr>
        <w:t xml:space="preserve"> after</w:t>
      </w:r>
      <w:r w:rsidRPr="00757B3B">
        <w:rPr>
          <w:rFonts w:ascii="Arial" w:hAnsi="Arial" w:cs="Arial"/>
        </w:rPr>
        <w:t xml:space="preserve"> </w:t>
      </w:r>
      <w:r w:rsidR="00694B98">
        <w:rPr>
          <w:rFonts w:ascii="Arial" w:hAnsi="Arial" w:cs="Arial"/>
        </w:rPr>
        <w:t>completion of the proposed project</w:t>
      </w:r>
      <w:r w:rsidRPr="00757B3B">
        <w:rPr>
          <w:rFonts w:ascii="Arial" w:hAnsi="Arial" w:cs="Arial"/>
        </w:rPr>
        <w:t>. Results will be reported back to YODA following manuscript revisions and acceptance.</w:t>
      </w:r>
    </w:p>
    <w:p w14:paraId="61B99EA3" w14:textId="77777777" w:rsidR="00442A8B" w:rsidRDefault="00442A8B" w:rsidP="00442A8B">
      <w:pPr>
        <w:rPr>
          <w:rFonts w:ascii="Arial" w:hAnsi="Arial" w:cs="Arial"/>
        </w:rPr>
      </w:pPr>
    </w:p>
    <w:p w14:paraId="5213F1B6" w14:textId="1988C41F" w:rsidR="005A0A53" w:rsidRPr="00290139" w:rsidRDefault="005A0A53" w:rsidP="00442A8B">
      <w:pPr>
        <w:rPr>
          <w:rFonts w:ascii="Arial" w:hAnsi="Arial" w:cs="Arial"/>
          <w:b/>
          <w:bCs/>
        </w:rPr>
      </w:pPr>
      <w:r w:rsidRPr="00290139">
        <w:rPr>
          <w:rFonts w:ascii="Arial" w:hAnsi="Arial" w:cs="Arial"/>
          <w:b/>
          <w:bCs/>
        </w:rPr>
        <w:t>References</w:t>
      </w:r>
    </w:p>
    <w:p w14:paraId="79F0F782" w14:textId="77777777" w:rsidR="006B32C1" w:rsidRPr="006B32C1" w:rsidRDefault="005A0A53" w:rsidP="006B32C1">
      <w:pPr>
        <w:pStyle w:val="Bibliography"/>
        <w:rPr>
          <w:rFonts w:ascii="Arial" w:hAnsi="Arial" w:cs="Arial"/>
        </w:rPr>
      </w:pPr>
      <w:r>
        <w:rPr>
          <w:rFonts w:ascii="Arial" w:hAnsi="Arial" w:cs="Arial"/>
        </w:rPr>
        <w:fldChar w:fldCharType="begin"/>
      </w:r>
      <w:r>
        <w:rPr>
          <w:rFonts w:ascii="Arial" w:hAnsi="Arial" w:cs="Arial"/>
        </w:rPr>
        <w:instrText xml:space="preserve"> ADDIN ZOTERO_BIBL {"uncited":[],"omitted":[],"custom":[]} CSL_BIBLIOGRAPHY </w:instrText>
      </w:r>
      <w:r>
        <w:rPr>
          <w:rFonts w:ascii="Arial" w:hAnsi="Arial" w:cs="Arial"/>
        </w:rPr>
        <w:fldChar w:fldCharType="separate"/>
      </w:r>
      <w:r w:rsidR="006B32C1" w:rsidRPr="006B32C1">
        <w:rPr>
          <w:rFonts w:ascii="Arial" w:hAnsi="Arial" w:cs="Arial"/>
        </w:rPr>
        <w:t xml:space="preserve">1. </w:t>
      </w:r>
      <w:r w:rsidR="006B32C1" w:rsidRPr="006B32C1">
        <w:rPr>
          <w:rFonts w:ascii="Arial" w:hAnsi="Arial" w:cs="Arial"/>
        </w:rPr>
        <w:tab/>
        <w:t xml:space="preserve">Gong X, Hu M, Basu M, Zhao L. Heterogeneous treatment effect analysis based on machine-learning methodology. </w:t>
      </w:r>
      <w:r w:rsidR="006B32C1" w:rsidRPr="006B32C1">
        <w:rPr>
          <w:rFonts w:ascii="Arial" w:hAnsi="Arial" w:cs="Arial"/>
          <w:i/>
          <w:iCs/>
        </w:rPr>
        <w:t>CPT: Pharmacometrics &amp; Systems Pharmacology</w:t>
      </w:r>
      <w:r w:rsidR="006B32C1" w:rsidRPr="006B32C1">
        <w:rPr>
          <w:rFonts w:ascii="Arial" w:hAnsi="Arial" w:cs="Arial"/>
        </w:rPr>
        <w:t>. 2021;10(11):1433-1443.</w:t>
      </w:r>
    </w:p>
    <w:p w14:paraId="2C54257F" w14:textId="77777777" w:rsidR="006B32C1" w:rsidRPr="006B32C1" w:rsidRDefault="006B32C1" w:rsidP="006B32C1">
      <w:pPr>
        <w:pStyle w:val="Bibliography"/>
        <w:rPr>
          <w:rFonts w:ascii="Arial" w:hAnsi="Arial" w:cs="Arial"/>
        </w:rPr>
      </w:pPr>
      <w:r w:rsidRPr="006B32C1">
        <w:rPr>
          <w:rFonts w:ascii="Arial" w:hAnsi="Arial" w:cs="Arial"/>
        </w:rPr>
        <w:t xml:space="preserve">2. </w:t>
      </w:r>
      <w:r w:rsidRPr="006B32C1">
        <w:rPr>
          <w:rFonts w:ascii="Arial" w:hAnsi="Arial" w:cs="Arial"/>
        </w:rPr>
        <w:tab/>
        <w:t xml:space="preserve">Altuwaijri M, Lam E. A34 DARATUMUMAB DOSE DEPENDENT LIVER INJURY. </w:t>
      </w:r>
      <w:r w:rsidRPr="006B32C1">
        <w:rPr>
          <w:rFonts w:ascii="Arial" w:hAnsi="Arial" w:cs="Arial"/>
          <w:i/>
          <w:iCs/>
        </w:rPr>
        <w:t>J Can Assoc Gastroenterol</w:t>
      </w:r>
      <w:r w:rsidRPr="006B32C1">
        <w:rPr>
          <w:rFonts w:ascii="Arial" w:hAnsi="Arial" w:cs="Arial"/>
        </w:rPr>
        <w:t>. 2018;1(Suppl 1):61.</w:t>
      </w:r>
    </w:p>
    <w:p w14:paraId="332F48F0" w14:textId="77777777" w:rsidR="006B32C1" w:rsidRPr="006B32C1" w:rsidRDefault="006B32C1" w:rsidP="006B32C1">
      <w:pPr>
        <w:pStyle w:val="Bibliography"/>
        <w:rPr>
          <w:rFonts w:ascii="Arial" w:hAnsi="Arial" w:cs="Arial"/>
        </w:rPr>
      </w:pPr>
      <w:r w:rsidRPr="006B32C1">
        <w:rPr>
          <w:rFonts w:ascii="Arial" w:hAnsi="Arial" w:cs="Arial"/>
        </w:rPr>
        <w:t xml:space="preserve">3. </w:t>
      </w:r>
      <w:r w:rsidRPr="006B32C1">
        <w:rPr>
          <w:rFonts w:ascii="Arial" w:hAnsi="Arial" w:cs="Arial"/>
        </w:rPr>
        <w:tab/>
        <w:t xml:space="preserve">Lokhorst HM, Laubach J, Nahi H, et al. Dose-dependent efficacy of daratumumab (DARA) as monotherapy in patients with relapsed or refractory multiple myeloma (RR MM). </w:t>
      </w:r>
      <w:r w:rsidRPr="006B32C1">
        <w:rPr>
          <w:rFonts w:ascii="Arial" w:hAnsi="Arial" w:cs="Arial"/>
          <w:i/>
          <w:iCs/>
        </w:rPr>
        <w:t>JCO</w:t>
      </w:r>
      <w:r w:rsidRPr="006B32C1">
        <w:rPr>
          <w:rFonts w:ascii="Arial" w:hAnsi="Arial" w:cs="Arial"/>
        </w:rPr>
        <w:t>. 2014;32(15_suppl):8513-8513.</w:t>
      </w:r>
    </w:p>
    <w:p w14:paraId="380DE3D3" w14:textId="77777777" w:rsidR="006B32C1" w:rsidRPr="006B32C1" w:rsidRDefault="006B32C1" w:rsidP="006B32C1">
      <w:pPr>
        <w:pStyle w:val="Bibliography"/>
        <w:rPr>
          <w:rFonts w:ascii="Arial" w:hAnsi="Arial" w:cs="Arial"/>
        </w:rPr>
      </w:pPr>
      <w:r w:rsidRPr="006B32C1">
        <w:rPr>
          <w:rFonts w:ascii="Arial" w:hAnsi="Arial" w:cs="Arial"/>
        </w:rPr>
        <w:t xml:space="preserve">4. </w:t>
      </w:r>
      <w:r w:rsidRPr="006B32C1">
        <w:rPr>
          <w:rFonts w:ascii="Arial" w:hAnsi="Arial" w:cs="Arial"/>
        </w:rPr>
        <w:tab/>
        <w:t xml:space="preserve">Goligher EC, Lawler PR, Jensen TP, et al. Heterogeneous Treatment Effects of Therapeutic-Dose Heparin in Patients Hospitalized for COVID-19. </w:t>
      </w:r>
      <w:r w:rsidRPr="006B32C1">
        <w:rPr>
          <w:rFonts w:ascii="Arial" w:hAnsi="Arial" w:cs="Arial"/>
          <w:i/>
          <w:iCs/>
        </w:rPr>
        <w:t>JAMA</w:t>
      </w:r>
      <w:r w:rsidRPr="006B32C1">
        <w:rPr>
          <w:rFonts w:ascii="Arial" w:hAnsi="Arial" w:cs="Arial"/>
        </w:rPr>
        <w:t>. 2023;329(13):1066.</w:t>
      </w:r>
    </w:p>
    <w:p w14:paraId="7A08D4FD" w14:textId="4868E75B" w:rsidR="00967D89" w:rsidRPr="00F21AE7" w:rsidRDefault="005A0A53">
      <w:pPr>
        <w:rPr>
          <w:rFonts w:ascii="Arial" w:hAnsi="Arial" w:cs="Arial"/>
        </w:rPr>
      </w:pPr>
      <w:r>
        <w:rPr>
          <w:rFonts w:ascii="Arial" w:hAnsi="Arial" w:cs="Arial"/>
        </w:rPr>
        <w:fldChar w:fldCharType="end"/>
      </w:r>
    </w:p>
    <w:sectPr w:rsidR="00967D89" w:rsidRPr="00F21AE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1EA29B" w16cid:durableId="1F2B8593"/>
  <w16cid:commentId w16cid:paraId="2B11D675" w16cid:durableId="78CBE3F9"/>
  <w16cid:commentId w16cid:paraId="77BB7099" w16cid:durableId="6101EE6F"/>
  <w16cid:commentId w16cid:paraId="04D3E5CC" w16cid:durableId="357B9B5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64829"/>
    <w:multiLevelType w:val="hybridMultilevel"/>
    <w:tmpl w:val="16786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E43478"/>
    <w:multiLevelType w:val="hybridMultilevel"/>
    <w:tmpl w:val="89AE5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BCA"/>
    <w:rsid w:val="00016FFA"/>
    <w:rsid w:val="00020244"/>
    <w:rsid w:val="00020E18"/>
    <w:rsid w:val="00021E04"/>
    <w:rsid w:val="00037419"/>
    <w:rsid w:val="000434C5"/>
    <w:rsid w:val="00044471"/>
    <w:rsid w:val="00046294"/>
    <w:rsid w:val="00050506"/>
    <w:rsid w:val="00052B6A"/>
    <w:rsid w:val="00053C13"/>
    <w:rsid w:val="000558B6"/>
    <w:rsid w:val="00057581"/>
    <w:rsid w:val="000614F1"/>
    <w:rsid w:val="00070DF6"/>
    <w:rsid w:val="00077186"/>
    <w:rsid w:val="00081738"/>
    <w:rsid w:val="00085C19"/>
    <w:rsid w:val="000A4149"/>
    <w:rsid w:val="000B128B"/>
    <w:rsid w:val="000B1449"/>
    <w:rsid w:val="000C400E"/>
    <w:rsid w:val="000D3E9F"/>
    <w:rsid w:val="000D590E"/>
    <w:rsid w:val="000E788F"/>
    <w:rsid w:val="000F29D4"/>
    <w:rsid w:val="00100725"/>
    <w:rsid w:val="001170BC"/>
    <w:rsid w:val="00120A8C"/>
    <w:rsid w:val="00122E39"/>
    <w:rsid w:val="0012472B"/>
    <w:rsid w:val="001277BE"/>
    <w:rsid w:val="00130F6D"/>
    <w:rsid w:val="0014580F"/>
    <w:rsid w:val="001566A8"/>
    <w:rsid w:val="00163149"/>
    <w:rsid w:val="0016677C"/>
    <w:rsid w:val="00170D74"/>
    <w:rsid w:val="00176F6A"/>
    <w:rsid w:val="001878C9"/>
    <w:rsid w:val="001A2160"/>
    <w:rsid w:val="001A29D1"/>
    <w:rsid w:val="001A2FAE"/>
    <w:rsid w:val="001B3626"/>
    <w:rsid w:val="001B4A76"/>
    <w:rsid w:val="001C204D"/>
    <w:rsid w:val="001C5374"/>
    <w:rsid w:val="001D4056"/>
    <w:rsid w:val="001D5863"/>
    <w:rsid w:val="001E2298"/>
    <w:rsid w:val="001E2AC9"/>
    <w:rsid w:val="001E3D3D"/>
    <w:rsid w:val="001E658B"/>
    <w:rsid w:val="001F3D7C"/>
    <w:rsid w:val="001F7D83"/>
    <w:rsid w:val="00200DC2"/>
    <w:rsid w:val="00203C4A"/>
    <w:rsid w:val="002150F3"/>
    <w:rsid w:val="002259AF"/>
    <w:rsid w:val="00232E8A"/>
    <w:rsid w:val="0023391F"/>
    <w:rsid w:val="00235869"/>
    <w:rsid w:val="00237960"/>
    <w:rsid w:val="00240DCA"/>
    <w:rsid w:val="00244E94"/>
    <w:rsid w:val="00253C38"/>
    <w:rsid w:val="00264E59"/>
    <w:rsid w:val="00267E77"/>
    <w:rsid w:val="00290139"/>
    <w:rsid w:val="0029383C"/>
    <w:rsid w:val="002A02B2"/>
    <w:rsid w:val="002A13FD"/>
    <w:rsid w:val="002A2BFD"/>
    <w:rsid w:val="002A5EFF"/>
    <w:rsid w:val="002B173D"/>
    <w:rsid w:val="002B7091"/>
    <w:rsid w:val="002C78BE"/>
    <w:rsid w:val="002D6A27"/>
    <w:rsid w:val="002E11E5"/>
    <w:rsid w:val="002E18B5"/>
    <w:rsid w:val="002E1F91"/>
    <w:rsid w:val="002E2F1B"/>
    <w:rsid w:val="00302384"/>
    <w:rsid w:val="003033E4"/>
    <w:rsid w:val="00311B3B"/>
    <w:rsid w:val="00314404"/>
    <w:rsid w:val="003218DD"/>
    <w:rsid w:val="0033247F"/>
    <w:rsid w:val="00334222"/>
    <w:rsid w:val="00336712"/>
    <w:rsid w:val="00337DDA"/>
    <w:rsid w:val="00344466"/>
    <w:rsid w:val="00350539"/>
    <w:rsid w:val="00350B5D"/>
    <w:rsid w:val="00350B8F"/>
    <w:rsid w:val="00352626"/>
    <w:rsid w:val="00375C28"/>
    <w:rsid w:val="00377086"/>
    <w:rsid w:val="003823F8"/>
    <w:rsid w:val="003B03CC"/>
    <w:rsid w:val="003B25FE"/>
    <w:rsid w:val="003B4725"/>
    <w:rsid w:val="003D378F"/>
    <w:rsid w:val="003D43C8"/>
    <w:rsid w:val="003D6D12"/>
    <w:rsid w:val="003E0605"/>
    <w:rsid w:val="003E6B93"/>
    <w:rsid w:val="003F26CC"/>
    <w:rsid w:val="003F7983"/>
    <w:rsid w:val="00401895"/>
    <w:rsid w:val="00414B60"/>
    <w:rsid w:val="0041663A"/>
    <w:rsid w:val="0043795C"/>
    <w:rsid w:val="00442A8B"/>
    <w:rsid w:val="00444B53"/>
    <w:rsid w:val="00445EC3"/>
    <w:rsid w:val="0044725B"/>
    <w:rsid w:val="0045239D"/>
    <w:rsid w:val="00452B09"/>
    <w:rsid w:val="00453A9F"/>
    <w:rsid w:val="00455C85"/>
    <w:rsid w:val="00456FE0"/>
    <w:rsid w:val="004578D9"/>
    <w:rsid w:val="00473522"/>
    <w:rsid w:val="00475471"/>
    <w:rsid w:val="00475A61"/>
    <w:rsid w:val="00480DD6"/>
    <w:rsid w:val="00484A86"/>
    <w:rsid w:val="00493EC6"/>
    <w:rsid w:val="00493ED2"/>
    <w:rsid w:val="004A7282"/>
    <w:rsid w:val="004B529C"/>
    <w:rsid w:val="004C1B7E"/>
    <w:rsid w:val="004C242B"/>
    <w:rsid w:val="004C5DC8"/>
    <w:rsid w:val="004C715E"/>
    <w:rsid w:val="004D579A"/>
    <w:rsid w:val="004E2C84"/>
    <w:rsid w:val="004E46D6"/>
    <w:rsid w:val="004E5824"/>
    <w:rsid w:val="004E598C"/>
    <w:rsid w:val="004E7F19"/>
    <w:rsid w:val="00505DA2"/>
    <w:rsid w:val="00507AD3"/>
    <w:rsid w:val="00510C7F"/>
    <w:rsid w:val="00516C52"/>
    <w:rsid w:val="00517AD1"/>
    <w:rsid w:val="0052186A"/>
    <w:rsid w:val="00523645"/>
    <w:rsid w:val="005253D0"/>
    <w:rsid w:val="00533FBE"/>
    <w:rsid w:val="00535227"/>
    <w:rsid w:val="00536D26"/>
    <w:rsid w:val="005437AC"/>
    <w:rsid w:val="005438F2"/>
    <w:rsid w:val="00544480"/>
    <w:rsid w:val="00545696"/>
    <w:rsid w:val="00545E63"/>
    <w:rsid w:val="00553208"/>
    <w:rsid w:val="00562666"/>
    <w:rsid w:val="00571B98"/>
    <w:rsid w:val="00576512"/>
    <w:rsid w:val="00580E6B"/>
    <w:rsid w:val="00581234"/>
    <w:rsid w:val="00584E1C"/>
    <w:rsid w:val="00585053"/>
    <w:rsid w:val="0059228A"/>
    <w:rsid w:val="00593B1B"/>
    <w:rsid w:val="005A0A53"/>
    <w:rsid w:val="005A274B"/>
    <w:rsid w:val="005A6115"/>
    <w:rsid w:val="005C2E3E"/>
    <w:rsid w:val="005C669C"/>
    <w:rsid w:val="005C6DBF"/>
    <w:rsid w:val="005D62D0"/>
    <w:rsid w:val="005D6A14"/>
    <w:rsid w:val="005D6BDC"/>
    <w:rsid w:val="005E21B5"/>
    <w:rsid w:val="005E60F7"/>
    <w:rsid w:val="005F0AF4"/>
    <w:rsid w:val="006051C9"/>
    <w:rsid w:val="00605C11"/>
    <w:rsid w:val="0060671E"/>
    <w:rsid w:val="00616E45"/>
    <w:rsid w:val="00623147"/>
    <w:rsid w:val="00631D0A"/>
    <w:rsid w:val="00641F01"/>
    <w:rsid w:val="00655800"/>
    <w:rsid w:val="006812CE"/>
    <w:rsid w:val="00683381"/>
    <w:rsid w:val="00690490"/>
    <w:rsid w:val="006921EF"/>
    <w:rsid w:val="00694B98"/>
    <w:rsid w:val="006972B2"/>
    <w:rsid w:val="006B1894"/>
    <w:rsid w:val="006B32C1"/>
    <w:rsid w:val="006B40AD"/>
    <w:rsid w:val="006B5CE8"/>
    <w:rsid w:val="006B5D31"/>
    <w:rsid w:val="006E5250"/>
    <w:rsid w:val="006E6252"/>
    <w:rsid w:val="006E6694"/>
    <w:rsid w:val="007008C3"/>
    <w:rsid w:val="0070303B"/>
    <w:rsid w:val="00715A88"/>
    <w:rsid w:val="00716B1D"/>
    <w:rsid w:val="00716BFA"/>
    <w:rsid w:val="007227CD"/>
    <w:rsid w:val="007309F6"/>
    <w:rsid w:val="00731DE0"/>
    <w:rsid w:val="007378C7"/>
    <w:rsid w:val="007410AF"/>
    <w:rsid w:val="00757B3B"/>
    <w:rsid w:val="00757DBB"/>
    <w:rsid w:val="00764C4B"/>
    <w:rsid w:val="0076525A"/>
    <w:rsid w:val="0076544A"/>
    <w:rsid w:val="00770103"/>
    <w:rsid w:val="00770CB5"/>
    <w:rsid w:val="00777B2F"/>
    <w:rsid w:val="00781BEE"/>
    <w:rsid w:val="00784709"/>
    <w:rsid w:val="007968A0"/>
    <w:rsid w:val="007A309D"/>
    <w:rsid w:val="007A3924"/>
    <w:rsid w:val="007B13F5"/>
    <w:rsid w:val="007C4019"/>
    <w:rsid w:val="007D08F1"/>
    <w:rsid w:val="007D356B"/>
    <w:rsid w:val="007D421F"/>
    <w:rsid w:val="007F5731"/>
    <w:rsid w:val="008003B2"/>
    <w:rsid w:val="008070AD"/>
    <w:rsid w:val="008075C3"/>
    <w:rsid w:val="00814709"/>
    <w:rsid w:val="00814741"/>
    <w:rsid w:val="008317D2"/>
    <w:rsid w:val="0083602E"/>
    <w:rsid w:val="008426B4"/>
    <w:rsid w:val="00846B04"/>
    <w:rsid w:val="00880C44"/>
    <w:rsid w:val="0088232A"/>
    <w:rsid w:val="0088244E"/>
    <w:rsid w:val="00887E09"/>
    <w:rsid w:val="00895E93"/>
    <w:rsid w:val="008A105B"/>
    <w:rsid w:val="008A1A46"/>
    <w:rsid w:val="008A5323"/>
    <w:rsid w:val="008B5765"/>
    <w:rsid w:val="008C08F4"/>
    <w:rsid w:val="008C1C70"/>
    <w:rsid w:val="008C41E0"/>
    <w:rsid w:val="008D4F76"/>
    <w:rsid w:val="008E2897"/>
    <w:rsid w:val="008E28C8"/>
    <w:rsid w:val="008E4165"/>
    <w:rsid w:val="008F09ED"/>
    <w:rsid w:val="008F1699"/>
    <w:rsid w:val="008F1954"/>
    <w:rsid w:val="008F644A"/>
    <w:rsid w:val="00907C35"/>
    <w:rsid w:val="00924C85"/>
    <w:rsid w:val="0093004E"/>
    <w:rsid w:val="00931467"/>
    <w:rsid w:val="00931F52"/>
    <w:rsid w:val="00933A47"/>
    <w:rsid w:val="00937377"/>
    <w:rsid w:val="00943BD9"/>
    <w:rsid w:val="009442E4"/>
    <w:rsid w:val="0095243E"/>
    <w:rsid w:val="00964FFB"/>
    <w:rsid w:val="00967D89"/>
    <w:rsid w:val="009706E9"/>
    <w:rsid w:val="00983FBB"/>
    <w:rsid w:val="00985A3B"/>
    <w:rsid w:val="00987F90"/>
    <w:rsid w:val="009927AE"/>
    <w:rsid w:val="009A3645"/>
    <w:rsid w:val="009D0F37"/>
    <w:rsid w:val="009E544B"/>
    <w:rsid w:val="009E6B42"/>
    <w:rsid w:val="009F026D"/>
    <w:rsid w:val="009F1E97"/>
    <w:rsid w:val="009F3A93"/>
    <w:rsid w:val="009F3B42"/>
    <w:rsid w:val="009F5247"/>
    <w:rsid w:val="00A00860"/>
    <w:rsid w:val="00A00CBE"/>
    <w:rsid w:val="00A06FE9"/>
    <w:rsid w:val="00A1176D"/>
    <w:rsid w:val="00A12629"/>
    <w:rsid w:val="00A24B38"/>
    <w:rsid w:val="00A34B8A"/>
    <w:rsid w:val="00A37A36"/>
    <w:rsid w:val="00A52FDD"/>
    <w:rsid w:val="00A721E2"/>
    <w:rsid w:val="00A86048"/>
    <w:rsid w:val="00A924A1"/>
    <w:rsid w:val="00A92A01"/>
    <w:rsid w:val="00A9330C"/>
    <w:rsid w:val="00A96051"/>
    <w:rsid w:val="00AA5689"/>
    <w:rsid w:val="00AA5D4E"/>
    <w:rsid w:val="00AA66B6"/>
    <w:rsid w:val="00AB44BC"/>
    <w:rsid w:val="00AB6076"/>
    <w:rsid w:val="00AB6752"/>
    <w:rsid w:val="00AB7613"/>
    <w:rsid w:val="00AC15C9"/>
    <w:rsid w:val="00AC4C31"/>
    <w:rsid w:val="00AD224F"/>
    <w:rsid w:val="00AD59C9"/>
    <w:rsid w:val="00AD5A4D"/>
    <w:rsid w:val="00AD5B7C"/>
    <w:rsid w:val="00AD71F3"/>
    <w:rsid w:val="00AE64E3"/>
    <w:rsid w:val="00AF051E"/>
    <w:rsid w:val="00AF2020"/>
    <w:rsid w:val="00AF5055"/>
    <w:rsid w:val="00AF54DD"/>
    <w:rsid w:val="00AF55F6"/>
    <w:rsid w:val="00B0320A"/>
    <w:rsid w:val="00B03B93"/>
    <w:rsid w:val="00B04A61"/>
    <w:rsid w:val="00B13DF3"/>
    <w:rsid w:val="00B1669D"/>
    <w:rsid w:val="00B22F1A"/>
    <w:rsid w:val="00B27FE8"/>
    <w:rsid w:val="00B3415C"/>
    <w:rsid w:val="00B35FDA"/>
    <w:rsid w:val="00B41B35"/>
    <w:rsid w:val="00B4247A"/>
    <w:rsid w:val="00B52632"/>
    <w:rsid w:val="00B64F8C"/>
    <w:rsid w:val="00B66D84"/>
    <w:rsid w:val="00B66E09"/>
    <w:rsid w:val="00B7679A"/>
    <w:rsid w:val="00B836D0"/>
    <w:rsid w:val="00B85D54"/>
    <w:rsid w:val="00B90B20"/>
    <w:rsid w:val="00B91559"/>
    <w:rsid w:val="00B92E3A"/>
    <w:rsid w:val="00BA04F6"/>
    <w:rsid w:val="00BD0697"/>
    <w:rsid w:val="00BD4B6C"/>
    <w:rsid w:val="00BE0037"/>
    <w:rsid w:val="00BE068F"/>
    <w:rsid w:val="00BE254A"/>
    <w:rsid w:val="00BE30C2"/>
    <w:rsid w:val="00BE4220"/>
    <w:rsid w:val="00C21758"/>
    <w:rsid w:val="00C2234E"/>
    <w:rsid w:val="00C22C3C"/>
    <w:rsid w:val="00C3015D"/>
    <w:rsid w:val="00C576EE"/>
    <w:rsid w:val="00C6349B"/>
    <w:rsid w:val="00C65233"/>
    <w:rsid w:val="00C724FD"/>
    <w:rsid w:val="00C81362"/>
    <w:rsid w:val="00C821B9"/>
    <w:rsid w:val="00C87953"/>
    <w:rsid w:val="00C95524"/>
    <w:rsid w:val="00C96AD4"/>
    <w:rsid w:val="00CA620A"/>
    <w:rsid w:val="00CB19C6"/>
    <w:rsid w:val="00CB2312"/>
    <w:rsid w:val="00CD5AFA"/>
    <w:rsid w:val="00CE3750"/>
    <w:rsid w:val="00CE4D20"/>
    <w:rsid w:val="00CF7222"/>
    <w:rsid w:val="00D07C5D"/>
    <w:rsid w:val="00D07F85"/>
    <w:rsid w:val="00D11B6A"/>
    <w:rsid w:val="00D169CD"/>
    <w:rsid w:val="00D1728A"/>
    <w:rsid w:val="00D21EF2"/>
    <w:rsid w:val="00D3723F"/>
    <w:rsid w:val="00D510F7"/>
    <w:rsid w:val="00D512FF"/>
    <w:rsid w:val="00D5586F"/>
    <w:rsid w:val="00D55E0A"/>
    <w:rsid w:val="00D623D2"/>
    <w:rsid w:val="00D65F7C"/>
    <w:rsid w:val="00D66CB3"/>
    <w:rsid w:val="00D702F9"/>
    <w:rsid w:val="00D73F60"/>
    <w:rsid w:val="00D76D37"/>
    <w:rsid w:val="00D84EE5"/>
    <w:rsid w:val="00D86171"/>
    <w:rsid w:val="00D96158"/>
    <w:rsid w:val="00D97123"/>
    <w:rsid w:val="00DA5EBA"/>
    <w:rsid w:val="00DC4B27"/>
    <w:rsid w:val="00DC5BEF"/>
    <w:rsid w:val="00DD4858"/>
    <w:rsid w:val="00DE2A7E"/>
    <w:rsid w:val="00DE3738"/>
    <w:rsid w:val="00DE4CC4"/>
    <w:rsid w:val="00DF0BCA"/>
    <w:rsid w:val="00DF23E0"/>
    <w:rsid w:val="00E02C64"/>
    <w:rsid w:val="00E133D9"/>
    <w:rsid w:val="00E13E9B"/>
    <w:rsid w:val="00E16BDA"/>
    <w:rsid w:val="00E21A30"/>
    <w:rsid w:val="00E31EC8"/>
    <w:rsid w:val="00E35E7E"/>
    <w:rsid w:val="00E377D6"/>
    <w:rsid w:val="00E455DE"/>
    <w:rsid w:val="00E5500D"/>
    <w:rsid w:val="00E63322"/>
    <w:rsid w:val="00E646DC"/>
    <w:rsid w:val="00E6641F"/>
    <w:rsid w:val="00E70086"/>
    <w:rsid w:val="00E7115E"/>
    <w:rsid w:val="00E73C27"/>
    <w:rsid w:val="00E76630"/>
    <w:rsid w:val="00E77AE7"/>
    <w:rsid w:val="00E8607A"/>
    <w:rsid w:val="00E978A7"/>
    <w:rsid w:val="00E97FE7"/>
    <w:rsid w:val="00EA395E"/>
    <w:rsid w:val="00EA67CE"/>
    <w:rsid w:val="00EA7A57"/>
    <w:rsid w:val="00EB0010"/>
    <w:rsid w:val="00EB5143"/>
    <w:rsid w:val="00EB52F0"/>
    <w:rsid w:val="00EC2E86"/>
    <w:rsid w:val="00EC392E"/>
    <w:rsid w:val="00ED1F62"/>
    <w:rsid w:val="00EE26D3"/>
    <w:rsid w:val="00EE6CA1"/>
    <w:rsid w:val="00EF1E73"/>
    <w:rsid w:val="00F05E6A"/>
    <w:rsid w:val="00F176CF"/>
    <w:rsid w:val="00F21AE7"/>
    <w:rsid w:val="00F3352B"/>
    <w:rsid w:val="00F448F5"/>
    <w:rsid w:val="00F449ED"/>
    <w:rsid w:val="00F45E34"/>
    <w:rsid w:val="00F4649B"/>
    <w:rsid w:val="00F53BBD"/>
    <w:rsid w:val="00F67751"/>
    <w:rsid w:val="00F70205"/>
    <w:rsid w:val="00F841F8"/>
    <w:rsid w:val="00F848B7"/>
    <w:rsid w:val="00F856BE"/>
    <w:rsid w:val="00F85886"/>
    <w:rsid w:val="00F85FA5"/>
    <w:rsid w:val="00F87591"/>
    <w:rsid w:val="00F8779E"/>
    <w:rsid w:val="00F95726"/>
    <w:rsid w:val="00FB3D7B"/>
    <w:rsid w:val="00FD2834"/>
    <w:rsid w:val="00FD59E8"/>
    <w:rsid w:val="00FD6F22"/>
    <w:rsid w:val="00FE1166"/>
    <w:rsid w:val="00FE14CA"/>
    <w:rsid w:val="00FF0A93"/>
    <w:rsid w:val="00FF1B31"/>
    <w:rsid w:val="00FF2B74"/>
    <w:rsid w:val="00FF4DCF"/>
    <w:rsid w:val="00FF7C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291C3"/>
  <w15:chartTrackingRefBased/>
  <w15:docId w15:val="{6E28AA56-5193-42F0-9246-815ED8226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ogodog">
    <w:name w:val="gogodog"/>
    <w:basedOn w:val="TableNormal"/>
    <w:uiPriority w:val="99"/>
    <w:rsid w:val="00F176CF"/>
    <w:pPr>
      <w:spacing w:after="0" w:line="240" w:lineRule="auto"/>
    </w:pPr>
    <w:rPr>
      <w:rFonts w:ascii="Arial" w:hAnsi="Arial"/>
    </w:rPr>
    <w:tblPr>
      <w:tblBorders>
        <w:bottom w:val="single" w:sz="8" w:space="0" w:color="auto"/>
      </w:tblBorders>
    </w:tblPr>
    <w:trPr>
      <w:cantSplit/>
    </w:trPr>
    <w:tcPr>
      <w:vAlign w:val="center"/>
    </w:tcPr>
    <w:tblStylePr w:type="firstRow">
      <w:rPr>
        <w:b/>
      </w:rPr>
      <w:tblPr/>
      <w:tcPr>
        <w:tcBorders>
          <w:top w:val="single" w:sz="8" w:space="0" w:color="auto"/>
          <w:bottom w:val="single" w:sz="8" w:space="0" w:color="auto"/>
        </w:tcBorders>
      </w:tcPr>
    </w:tblStylePr>
  </w:style>
  <w:style w:type="paragraph" w:styleId="ListParagraph">
    <w:name w:val="List Paragraph"/>
    <w:basedOn w:val="Normal"/>
    <w:uiPriority w:val="34"/>
    <w:qFormat/>
    <w:rsid w:val="001E2298"/>
    <w:pPr>
      <w:ind w:left="720"/>
      <w:contextualSpacing/>
    </w:pPr>
  </w:style>
  <w:style w:type="character" w:styleId="CommentReference">
    <w:name w:val="annotation reference"/>
    <w:basedOn w:val="DefaultParagraphFont"/>
    <w:uiPriority w:val="99"/>
    <w:semiHidden/>
    <w:unhideWhenUsed/>
    <w:rsid w:val="00E21A30"/>
    <w:rPr>
      <w:sz w:val="16"/>
      <w:szCs w:val="16"/>
    </w:rPr>
  </w:style>
  <w:style w:type="paragraph" w:styleId="CommentText">
    <w:name w:val="annotation text"/>
    <w:basedOn w:val="Normal"/>
    <w:link w:val="CommentTextChar"/>
    <w:uiPriority w:val="99"/>
    <w:semiHidden/>
    <w:unhideWhenUsed/>
    <w:rsid w:val="00E21A30"/>
    <w:pPr>
      <w:spacing w:line="240" w:lineRule="auto"/>
    </w:pPr>
    <w:rPr>
      <w:sz w:val="20"/>
      <w:szCs w:val="20"/>
    </w:rPr>
  </w:style>
  <w:style w:type="character" w:customStyle="1" w:styleId="CommentTextChar">
    <w:name w:val="Comment Text Char"/>
    <w:basedOn w:val="DefaultParagraphFont"/>
    <w:link w:val="CommentText"/>
    <w:uiPriority w:val="99"/>
    <w:semiHidden/>
    <w:rsid w:val="00E21A30"/>
    <w:rPr>
      <w:sz w:val="20"/>
      <w:szCs w:val="20"/>
    </w:rPr>
  </w:style>
  <w:style w:type="paragraph" w:styleId="CommentSubject">
    <w:name w:val="annotation subject"/>
    <w:basedOn w:val="CommentText"/>
    <w:next w:val="CommentText"/>
    <w:link w:val="CommentSubjectChar"/>
    <w:uiPriority w:val="99"/>
    <w:semiHidden/>
    <w:unhideWhenUsed/>
    <w:rsid w:val="00E21A30"/>
    <w:rPr>
      <w:b/>
      <w:bCs/>
    </w:rPr>
  </w:style>
  <w:style w:type="character" w:customStyle="1" w:styleId="CommentSubjectChar">
    <w:name w:val="Comment Subject Char"/>
    <w:basedOn w:val="CommentTextChar"/>
    <w:link w:val="CommentSubject"/>
    <w:uiPriority w:val="99"/>
    <w:semiHidden/>
    <w:rsid w:val="00E21A30"/>
    <w:rPr>
      <w:b/>
      <w:bCs/>
      <w:sz w:val="20"/>
      <w:szCs w:val="20"/>
    </w:rPr>
  </w:style>
  <w:style w:type="paragraph" w:styleId="BalloonText">
    <w:name w:val="Balloon Text"/>
    <w:basedOn w:val="Normal"/>
    <w:link w:val="BalloonTextChar"/>
    <w:uiPriority w:val="99"/>
    <w:semiHidden/>
    <w:unhideWhenUsed/>
    <w:rsid w:val="00E21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A30"/>
    <w:rPr>
      <w:rFonts w:ascii="Segoe UI" w:hAnsi="Segoe UI" w:cs="Segoe UI"/>
      <w:sz w:val="18"/>
      <w:szCs w:val="18"/>
    </w:rPr>
  </w:style>
  <w:style w:type="paragraph" w:styleId="Revision">
    <w:name w:val="Revision"/>
    <w:hidden/>
    <w:uiPriority w:val="99"/>
    <w:semiHidden/>
    <w:rsid w:val="00A92A01"/>
    <w:pPr>
      <w:spacing w:after="0" w:line="240" w:lineRule="auto"/>
    </w:pPr>
  </w:style>
  <w:style w:type="paragraph" w:styleId="Bibliography">
    <w:name w:val="Bibliography"/>
    <w:basedOn w:val="Normal"/>
    <w:next w:val="Normal"/>
    <w:uiPriority w:val="37"/>
    <w:unhideWhenUsed/>
    <w:rsid w:val="008003B2"/>
    <w:pPr>
      <w:tabs>
        <w:tab w:val="left" w:pos="384"/>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1EFBF0ED02F04F9417A880C7DB6771" ma:contentTypeVersion="13" ma:contentTypeDescription="Create a new document." ma:contentTypeScope="" ma:versionID="12be30705967dd40ca7cc989b736f15f">
  <xsd:schema xmlns:xsd="http://www.w3.org/2001/XMLSchema" xmlns:xs="http://www.w3.org/2001/XMLSchema" xmlns:p="http://schemas.microsoft.com/office/2006/metadata/properties" xmlns:ns2="204fa03c-d831-454b-bb05-494dbee29058" xmlns:ns3="3fa26a94-8730-4440-95b2-276f52da6b07" targetNamespace="http://schemas.microsoft.com/office/2006/metadata/properties" ma:root="true" ma:fieldsID="ab04d62bf0cdef9102d40c8db455b787" ns2:_="" ns3:_="">
    <xsd:import namespace="204fa03c-d831-454b-bb05-494dbee29058"/>
    <xsd:import namespace="3fa26a94-8730-4440-95b2-276f52da6b0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4fa03c-d831-454b-bb05-494dbee29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a26a94-8730-4440-95b2-276f52da6b0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ae85c76-a150-49e8-90b4-7c403f3ecaef}" ma:internalName="TaxCatchAll" ma:showField="CatchAllData" ma:web="3fa26a94-8730-4440-95b2-276f52da6b0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04fa03c-d831-454b-bb05-494dbee29058">
      <Terms xmlns="http://schemas.microsoft.com/office/infopath/2007/PartnerControls"/>
    </lcf76f155ced4ddcb4097134ff3c332f>
    <TaxCatchAll xmlns="3fa26a94-8730-4440-95b2-276f52da6b07"/>
  </documentManagement>
</p:properties>
</file>

<file path=customXml/itemProps1.xml><?xml version="1.0" encoding="utf-8"?>
<ds:datastoreItem xmlns:ds="http://schemas.openxmlformats.org/officeDocument/2006/customXml" ds:itemID="{F363C55A-4BE8-446B-9A42-F2AB45510A98}">
  <ds:schemaRefs>
    <ds:schemaRef ds:uri="http://schemas.microsoft.com/sharepoint/v3/contenttype/forms"/>
  </ds:schemaRefs>
</ds:datastoreItem>
</file>

<file path=customXml/itemProps2.xml><?xml version="1.0" encoding="utf-8"?>
<ds:datastoreItem xmlns:ds="http://schemas.openxmlformats.org/officeDocument/2006/customXml" ds:itemID="{0C6EA689-24D3-45F4-BE7E-361B78AD9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4fa03c-d831-454b-bb05-494dbee29058"/>
    <ds:schemaRef ds:uri="3fa26a94-8730-4440-95b2-276f52da6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DDA0DA-0682-4585-8583-B6D32586A33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04fa03c-d831-454b-bb05-494dbee29058"/>
    <ds:schemaRef ds:uri="3fa26a94-8730-4440-95b2-276f52da6b07"/>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4651</Words>
  <Characters>26517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Liao, Xiaozhi</dc:creator>
  <cp:keywords/>
  <dc:description/>
  <cp:lastModifiedBy>Yanguang Cao</cp:lastModifiedBy>
  <cp:revision>5</cp:revision>
  <dcterms:created xsi:type="dcterms:W3CDTF">2023-10-31T13:08:00Z</dcterms:created>
  <dcterms:modified xsi:type="dcterms:W3CDTF">2023-10-31T13:14:00Z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0x0101001E1EFBF0ED02F04F9417A880C7DB6771</vt:lpwstr>
  </property>
  <property fmtid="{D5CDD505-2E9C-101B-9397-08002B2CF9AE}" pid="3" name="MediaServiceImageTags">
    <vt:lpwstr/>
  </property>
  <property fmtid="{D5CDD505-2E9C-101B-9397-08002B2CF9AE}" pid="4" name="ZOTERO_PREF_1">
    <vt:lpwstr>&lt;data data-version="3" zotero-version="6.0.27"&gt;&lt;session id="9H5dQvGo"/&gt;&lt;style id="http://www.zotero.org/styles/american-medical-association-no-url" hasBibliography="1" bibliographyStyleHasBeenSet="1"/&gt;&lt;prefs&gt;&lt;pref name="fieldType" value="Field"/&gt;&lt;/prefs&gt;&lt;</vt:lpwstr>
  </property>
  <property fmtid="{D5CDD505-2E9C-101B-9397-08002B2CF9AE}" pid="5" name="ZOTERO_PREF_2">
    <vt:lpwstr>/data&gt;</vt:lpwstr>
  </property>
</Properties>
</file>