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C011F" w14:textId="77777777" w:rsidR="00AB772C" w:rsidRPr="00A00CBE" w:rsidRDefault="00AB772C" w:rsidP="00AB772C">
      <w:pPr>
        <w:jc w:val="center"/>
        <w:rPr>
          <w:rFonts w:ascii="Arial" w:hAnsi="Arial" w:cs="Arial"/>
          <w:b/>
          <w:bCs/>
        </w:rPr>
      </w:pPr>
      <w:r w:rsidRPr="00A00CBE">
        <w:rPr>
          <w:rFonts w:ascii="Arial" w:hAnsi="Arial" w:cs="Arial"/>
          <w:b/>
          <w:bCs/>
        </w:rPr>
        <w:t>Research Proposal</w:t>
      </w:r>
    </w:p>
    <w:p w14:paraId="6D93DFFF" w14:textId="77777777" w:rsidR="00AB772C" w:rsidRPr="00A00CBE" w:rsidRDefault="00AB772C" w:rsidP="00AB772C">
      <w:pPr>
        <w:rPr>
          <w:rFonts w:ascii="Arial" w:hAnsi="Arial" w:cs="Arial"/>
          <w:b/>
          <w:bCs/>
        </w:rPr>
      </w:pPr>
      <w:r w:rsidRPr="00A00CBE">
        <w:rPr>
          <w:rFonts w:ascii="Arial" w:hAnsi="Arial" w:cs="Arial"/>
          <w:b/>
          <w:bCs/>
        </w:rPr>
        <w:t>Project Title</w:t>
      </w:r>
    </w:p>
    <w:p w14:paraId="5D051C64" w14:textId="1F84B000" w:rsidR="00AB772C" w:rsidRDefault="00AB772C" w:rsidP="00AB772C">
      <w:pPr>
        <w:rPr>
          <w:rFonts w:ascii="Arial" w:hAnsi="Arial" w:cs="Arial"/>
        </w:rPr>
      </w:pPr>
      <w:r w:rsidRPr="00244E94">
        <w:rPr>
          <w:rFonts w:ascii="Arial" w:hAnsi="Arial" w:cs="Arial"/>
        </w:rPr>
        <w:t xml:space="preserve">Identifying Prognostic and Predictive Factors for Causal </w:t>
      </w:r>
      <w:r w:rsidR="006F6A70">
        <w:rPr>
          <w:rFonts w:ascii="Arial" w:hAnsi="Arial" w:cs="Arial"/>
        </w:rPr>
        <w:t>Exposure</w:t>
      </w:r>
      <w:r w:rsidRPr="00244E94">
        <w:rPr>
          <w:rFonts w:ascii="Arial" w:hAnsi="Arial" w:cs="Arial"/>
        </w:rPr>
        <w:t xml:space="preserve">-Response Analysis of </w:t>
      </w:r>
      <w:r w:rsidR="00825D0D">
        <w:rPr>
          <w:rFonts w:ascii="Arial" w:hAnsi="Arial" w:cs="Arial"/>
        </w:rPr>
        <w:t>Ibrutinib</w:t>
      </w:r>
      <w:r w:rsidRPr="00244E94">
        <w:rPr>
          <w:rFonts w:ascii="Arial" w:hAnsi="Arial" w:cs="Arial"/>
        </w:rPr>
        <w:t xml:space="preserve"> in </w:t>
      </w:r>
      <w:r w:rsidR="00FF752F">
        <w:rPr>
          <w:rFonts w:ascii="Arial" w:hAnsi="Arial" w:cs="Arial"/>
        </w:rPr>
        <w:t xml:space="preserve">treatment of </w:t>
      </w:r>
      <w:r w:rsidR="002E6831" w:rsidRPr="002E6831">
        <w:rPr>
          <w:rFonts w:ascii="Arial" w:hAnsi="Arial" w:cs="Arial"/>
        </w:rPr>
        <w:t xml:space="preserve">non-Hodgkin </w:t>
      </w:r>
      <w:r w:rsidR="002E6831">
        <w:rPr>
          <w:rFonts w:ascii="Arial" w:hAnsi="Arial" w:cs="Arial"/>
        </w:rPr>
        <w:t>L</w:t>
      </w:r>
      <w:r w:rsidR="002E6831" w:rsidRPr="002E6831">
        <w:rPr>
          <w:rFonts w:ascii="Arial" w:hAnsi="Arial" w:cs="Arial"/>
        </w:rPr>
        <w:t>ymphoma</w:t>
      </w:r>
    </w:p>
    <w:p w14:paraId="281F11C1" w14:textId="77777777" w:rsidR="00AB772C" w:rsidRDefault="00AB772C" w:rsidP="00AB772C">
      <w:pPr>
        <w:rPr>
          <w:rFonts w:ascii="Arial" w:hAnsi="Arial" w:cs="Arial"/>
          <w:b/>
          <w:bCs/>
        </w:rPr>
      </w:pPr>
    </w:p>
    <w:p w14:paraId="4AF8E265" w14:textId="77777777" w:rsidR="00AB772C" w:rsidRPr="007008C3" w:rsidRDefault="00AB772C" w:rsidP="00AB772C">
      <w:pPr>
        <w:rPr>
          <w:rFonts w:ascii="Arial" w:hAnsi="Arial" w:cs="Arial"/>
          <w:b/>
          <w:bCs/>
        </w:rPr>
      </w:pPr>
      <w:r w:rsidRPr="007008C3">
        <w:rPr>
          <w:rFonts w:ascii="Arial" w:hAnsi="Arial" w:cs="Arial"/>
          <w:b/>
          <w:bCs/>
        </w:rPr>
        <w:t>Scientific Abstract</w:t>
      </w:r>
    </w:p>
    <w:p w14:paraId="491208E5" w14:textId="44556AA4" w:rsidR="00AB772C" w:rsidRDefault="00AB772C" w:rsidP="00AB772C">
      <w:pPr>
        <w:rPr>
          <w:rFonts w:ascii="Arial" w:hAnsi="Arial" w:cs="Arial"/>
        </w:rPr>
      </w:pPr>
      <w:r w:rsidRPr="005A274B">
        <w:rPr>
          <w:rFonts w:ascii="Arial" w:hAnsi="Arial" w:cs="Arial"/>
        </w:rPr>
        <w:t xml:space="preserve">Dose optimization has become a pivotal component of oncology drug development. </w:t>
      </w:r>
      <w:r>
        <w:rPr>
          <w:rFonts w:ascii="Arial" w:hAnsi="Arial" w:cs="Arial"/>
        </w:rPr>
        <w:t xml:space="preserve">In clinical trials, </w:t>
      </w:r>
      <w:r w:rsidR="00123C56">
        <w:rPr>
          <w:rFonts w:ascii="Arial" w:hAnsi="Arial" w:cs="Arial"/>
        </w:rPr>
        <w:t>Exposure</w:t>
      </w:r>
      <w:r>
        <w:rPr>
          <w:rFonts w:ascii="Arial" w:hAnsi="Arial" w:cs="Arial"/>
        </w:rPr>
        <w:t>-Response (</w:t>
      </w:r>
      <w:r w:rsidR="00123C56">
        <w:rPr>
          <w:rFonts w:ascii="Arial" w:hAnsi="Arial" w:cs="Arial"/>
        </w:rPr>
        <w:t>E</w:t>
      </w:r>
      <w:r>
        <w:rPr>
          <w:rFonts w:ascii="Arial" w:hAnsi="Arial" w:cs="Arial"/>
        </w:rPr>
        <w:t xml:space="preserve">-R) analyses serve as an essential step to support dose selection. </w:t>
      </w:r>
      <w:r w:rsidRPr="005A274B">
        <w:rPr>
          <w:rFonts w:ascii="Arial" w:hAnsi="Arial" w:cs="Arial"/>
        </w:rPr>
        <w:t xml:space="preserve">Nevertheless, </w:t>
      </w:r>
      <w:r>
        <w:rPr>
          <w:rFonts w:ascii="Arial" w:hAnsi="Arial" w:cs="Arial"/>
        </w:rPr>
        <w:t xml:space="preserve">it’s challenging to derive a causal </w:t>
      </w:r>
      <w:r w:rsidR="00730511">
        <w:rPr>
          <w:rFonts w:ascii="Arial" w:hAnsi="Arial" w:cs="Arial"/>
        </w:rPr>
        <w:t>E</w:t>
      </w:r>
      <w:r>
        <w:rPr>
          <w:rFonts w:ascii="Arial" w:hAnsi="Arial" w:cs="Arial"/>
        </w:rPr>
        <w:t xml:space="preserve">-R relationship </w:t>
      </w:r>
      <w:r w:rsidRPr="005A274B">
        <w:rPr>
          <w:rFonts w:ascii="Arial" w:hAnsi="Arial" w:cs="Arial"/>
        </w:rPr>
        <w:t>due to the presence of heterogeneous treatment effects (HTE)</w:t>
      </w:r>
      <w:r w:rsidR="007012A9">
        <w:rPr>
          <w:rFonts w:ascii="Arial" w:hAnsi="Arial" w:cs="Arial"/>
        </w:rPr>
        <w:fldChar w:fldCharType="begin"/>
      </w:r>
      <w:r w:rsidR="007012A9">
        <w:rPr>
          <w:rFonts w:ascii="Arial" w:hAnsi="Arial" w:cs="Arial"/>
        </w:rPr>
        <w:instrText xml:space="preserve"> ADDIN ZOTERO_ITEM CSL_CITATION {"citationID":"cabyEZ3g","properties":{"formattedCitation":"\\super 1\\nosupersub{}","plainCitation":"1","noteIndex":0},"citationItems":[{"id":5517,"uris":["http://zotero.org/users/9693191/items/MYIKZYWB"],"itemData":{"id":5517,"type":"article-journal","abstract":"Heterogeneous treatment effect (HTE) analysis focuses on examining varying treatment effects for individuals or subgroups in a population. For example, an HTE-informed understanding can critically guide physicians to individualize the medical treatment for a certain disease. However, HTE analysis has not been widely recognized and used, even given the explosive increase of data availability attributed to the arrival of the Big Data era. Part of the reason behind its underuse is that data are often of high dimension and high complexity, which pose significant challenges for applying conventional HTE analysis methods. To meet these challenges, a newly developed causal forest HTE method has been derived from the random forest machine-learning algorithm. We conducted a systematic performance evaluation for the causal forest method against the conventional two-step method by simulating scenarios with different levels of complexity for the analysis. Our results show that causal forest outperforms the conventional HTE method in assessing treatment effect, especially when data are complex (e.g., nonlinear) and high dimensional, suggesting that causal forest is a promising tool for real-world applications of HTE analysis.","container-title":"CPT: Pharmacometrics &amp; Systems Pharmacology","DOI":"10.1002/psp4.12715","ISSN":"2163-8306","issue":"11","language":"en","license":"© 2021 The Authors. CPT: Pharmacometrics &amp; Systems Pharmacology published by Wiley Periodicals LLC on behalf of American Society for Clinical Pharmacology and Therapeutics","note":"_eprint: https://onlinelibrary.wiley.com/doi/pdf/10.1002/psp4.12715","page":"1433-1443","source":"Wiley Online Library","title":"Heterogeneous treatment effect analysis based on machine-learning methodology","volume":"10","author":[{"family":"Gong","given":"Xiajing"},{"family":"Hu","given":"Meng"},{"family":"Basu","given":"Mahashweta"},{"family":"Zhao","given":"Liang"}],"issued":{"date-parts":[["2021"]]},"citation-key":"gongHeterogeneousTreatmentEffect2021"}}],"schema":"https://github.com/citation-style-language/schema/raw/master/csl-citation.json"} </w:instrText>
      </w:r>
      <w:r w:rsidR="007012A9">
        <w:rPr>
          <w:rFonts w:ascii="Arial" w:hAnsi="Arial" w:cs="Arial"/>
        </w:rPr>
        <w:fldChar w:fldCharType="separate"/>
      </w:r>
      <w:r w:rsidR="007012A9" w:rsidRPr="007012A9">
        <w:rPr>
          <w:rFonts w:ascii="Arial" w:hAnsi="Arial" w:cs="Arial"/>
          <w:kern w:val="0"/>
          <w:szCs w:val="24"/>
          <w:vertAlign w:val="superscript"/>
        </w:rPr>
        <w:t>1</w:t>
      </w:r>
      <w:r w:rsidR="007012A9">
        <w:rPr>
          <w:rFonts w:ascii="Arial" w:hAnsi="Arial" w:cs="Arial"/>
        </w:rPr>
        <w:fldChar w:fldCharType="end"/>
      </w:r>
      <w:r>
        <w:rPr>
          <w:rFonts w:ascii="Arial" w:hAnsi="Arial" w:cs="Arial"/>
        </w:rPr>
        <w:t>.  To achieve</w:t>
      </w:r>
      <w:r w:rsidRPr="005A274B">
        <w:rPr>
          <w:rFonts w:ascii="Arial" w:hAnsi="Arial" w:cs="Arial"/>
        </w:rPr>
        <w:t xml:space="preserve"> a </w:t>
      </w:r>
      <w:r>
        <w:rPr>
          <w:rFonts w:ascii="Arial" w:hAnsi="Arial" w:cs="Arial"/>
        </w:rPr>
        <w:t>better</w:t>
      </w:r>
      <w:r w:rsidRPr="005A274B">
        <w:rPr>
          <w:rFonts w:ascii="Arial" w:hAnsi="Arial" w:cs="Arial"/>
        </w:rPr>
        <w:t xml:space="preserve"> understanding of </w:t>
      </w:r>
      <w:r>
        <w:rPr>
          <w:rFonts w:ascii="Arial" w:hAnsi="Arial" w:cs="Arial"/>
        </w:rPr>
        <w:t xml:space="preserve">causal </w:t>
      </w:r>
      <w:r w:rsidR="00730511">
        <w:rPr>
          <w:rFonts w:ascii="Arial" w:hAnsi="Arial" w:cs="Arial"/>
        </w:rPr>
        <w:t>E</w:t>
      </w:r>
      <w:r>
        <w:rPr>
          <w:rFonts w:ascii="Arial" w:hAnsi="Arial" w:cs="Arial"/>
        </w:rPr>
        <w:t>-</w:t>
      </w:r>
      <w:r w:rsidRPr="005A274B">
        <w:rPr>
          <w:rFonts w:ascii="Arial" w:hAnsi="Arial" w:cs="Arial"/>
        </w:rPr>
        <w:t>R relationships</w:t>
      </w:r>
      <w:r>
        <w:rPr>
          <w:rFonts w:ascii="Arial" w:hAnsi="Arial" w:cs="Arial"/>
        </w:rPr>
        <w:t>, it’s important to i</w:t>
      </w:r>
      <w:r w:rsidRPr="005A274B">
        <w:rPr>
          <w:rFonts w:ascii="Arial" w:hAnsi="Arial" w:cs="Arial"/>
        </w:rPr>
        <w:t xml:space="preserve">dentify </w:t>
      </w:r>
      <w:r>
        <w:rPr>
          <w:rFonts w:ascii="Arial" w:hAnsi="Arial" w:cs="Arial"/>
        </w:rPr>
        <w:t>the confounding</w:t>
      </w:r>
      <w:r w:rsidRPr="005A274B">
        <w:rPr>
          <w:rFonts w:ascii="Arial" w:hAnsi="Arial" w:cs="Arial"/>
        </w:rPr>
        <w:t xml:space="preserve"> factors</w:t>
      </w:r>
      <w:r>
        <w:rPr>
          <w:rFonts w:ascii="Arial" w:hAnsi="Arial" w:cs="Arial"/>
        </w:rPr>
        <w:t>, including prognostic and predictive factors,</w:t>
      </w:r>
      <w:r w:rsidRPr="005A274B">
        <w:rPr>
          <w:rFonts w:ascii="Arial" w:hAnsi="Arial" w:cs="Arial"/>
        </w:rPr>
        <w:t xml:space="preserve"> </w:t>
      </w:r>
      <w:r>
        <w:rPr>
          <w:rFonts w:ascii="Arial" w:hAnsi="Arial" w:cs="Arial"/>
        </w:rPr>
        <w:t xml:space="preserve">that affect patient health outcomes and to quantify their effects on </w:t>
      </w:r>
      <w:r w:rsidR="00730511">
        <w:rPr>
          <w:rFonts w:ascii="Arial" w:hAnsi="Arial" w:cs="Arial"/>
        </w:rPr>
        <w:t>E</w:t>
      </w:r>
      <w:r>
        <w:rPr>
          <w:rFonts w:ascii="Arial" w:hAnsi="Arial" w:cs="Arial"/>
        </w:rPr>
        <w:t>-R relationships</w:t>
      </w:r>
      <w:r w:rsidRPr="005A274B">
        <w:rPr>
          <w:rFonts w:ascii="Arial" w:hAnsi="Arial" w:cs="Arial"/>
        </w:rPr>
        <w:t>.</w:t>
      </w:r>
      <w:r>
        <w:rPr>
          <w:rFonts w:ascii="Arial" w:hAnsi="Arial" w:cs="Arial"/>
        </w:rPr>
        <w:t xml:space="preserve"> </w:t>
      </w:r>
      <w:r w:rsidRPr="005A274B">
        <w:rPr>
          <w:rFonts w:ascii="Arial" w:hAnsi="Arial" w:cs="Arial"/>
        </w:rPr>
        <w:t xml:space="preserve">In this </w:t>
      </w:r>
      <w:r>
        <w:rPr>
          <w:rFonts w:ascii="Arial" w:hAnsi="Arial" w:cs="Arial"/>
        </w:rPr>
        <w:t>study</w:t>
      </w:r>
      <w:r w:rsidRPr="005A274B">
        <w:rPr>
          <w:rFonts w:ascii="Arial" w:hAnsi="Arial" w:cs="Arial"/>
        </w:rPr>
        <w:t xml:space="preserve">, we aim to </w:t>
      </w:r>
      <w:r>
        <w:rPr>
          <w:rFonts w:ascii="Arial" w:hAnsi="Arial" w:cs="Arial"/>
        </w:rPr>
        <w:t xml:space="preserve">evaluate the </w:t>
      </w:r>
      <w:r w:rsidR="00730511">
        <w:rPr>
          <w:rFonts w:ascii="Arial" w:hAnsi="Arial" w:cs="Arial"/>
        </w:rPr>
        <w:t>E</w:t>
      </w:r>
      <w:r>
        <w:rPr>
          <w:rFonts w:ascii="Arial" w:hAnsi="Arial" w:cs="Arial"/>
        </w:rPr>
        <w:t xml:space="preserve">-R relationship of </w:t>
      </w:r>
      <w:r w:rsidR="005C78A4">
        <w:rPr>
          <w:rFonts w:ascii="Arial" w:hAnsi="Arial" w:cs="Arial"/>
        </w:rPr>
        <w:t>ibrutinib</w:t>
      </w:r>
      <w:r>
        <w:rPr>
          <w:rFonts w:ascii="Arial" w:hAnsi="Arial" w:cs="Arial"/>
        </w:rPr>
        <w:t xml:space="preserve"> in treatment of </w:t>
      </w:r>
      <w:r w:rsidR="00563EAA">
        <w:rPr>
          <w:rFonts w:ascii="Arial" w:hAnsi="Arial" w:cs="Arial"/>
        </w:rPr>
        <w:t>c</w:t>
      </w:r>
      <w:r w:rsidR="00105A17" w:rsidRPr="00105A17">
        <w:rPr>
          <w:rFonts w:ascii="Arial" w:hAnsi="Arial" w:cs="Arial"/>
        </w:rPr>
        <w:t xml:space="preserve">hronic </w:t>
      </w:r>
      <w:r w:rsidR="00563EAA">
        <w:rPr>
          <w:rFonts w:ascii="Arial" w:hAnsi="Arial" w:cs="Arial"/>
        </w:rPr>
        <w:t>l</w:t>
      </w:r>
      <w:r w:rsidR="00105A17" w:rsidRPr="00105A17">
        <w:rPr>
          <w:rFonts w:ascii="Arial" w:hAnsi="Arial" w:cs="Arial"/>
        </w:rPr>
        <w:t xml:space="preserve">ymphocytic </w:t>
      </w:r>
      <w:r w:rsidR="00563EAA">
        <w:rPr>
          <w:rFonts w:ascii="Arial" w:hAnsi="Arial" w:cs="Arial"/>
        </w:rPr>
        <w:t>l</w:t>
      </w:r>
      <w:r w:rsidR="00105A17" w:rsidRPr="00105A17">
        <w:rPr>
          <w:rFonts w:ascii="Arial" w:hAnsi="Arial" w:cs="Arial"/>
        </w:rPr>
        <w:t>eukemia</w:t>
      </w:r>
      <w:r w:rsidR="00563EAA">
        <w:rPr>
          <w:rFonts w:ascii="Arial" w:hAnsi="Arial" w:cs="Arial"/>
        </w:rPr>
        <w:t xml:space="preserve"> (CLL)</w:t>
      </w:r>
      <w:r w:rsidR="003671FB">
        <w:rPr>
          <w:rFonts w:ascii="Arial" w:hAnsi="Arial" w:cs="Arial"/>
        </w:rPr>
        <w:t>,</w:t>
      </w:r>
      <w:r w:rsidR="00105A17" w:rsidRPr="00105A17">
        <w:rPr>
          <w:rFonts w:ascii="Arial" w:hAnsi="Arial" w:cs="Arial"/>
        </w:rPr>
        <w:t xml:space="preserve"> </w:t>
      </w:r>
      <w:r w:rsidR="004046CB">
        <w:rPr>
          <w:rFonts w:ascii="Arial" w:hAnsi="Arial" w:cs="Arial"/>
        </w:rPr>
        <w:t>s</w:t>
      </w:r>
      <w:r w:rsidR="00105A17" w:rsidRPr="00105A17">
        <w:rPr>
          <w:rFonts w:ascii="Arial" w:hAnsi="Arial" w:cs="Arial"/>
        </w:rPr>
        <w:t xml:space="preserve">mall </w:t>
      </w:r>
      <w:r w:rsidR="004046CB">
        <w:rPr>
          <w:rFonts w:ascii="Arial" w:hAnsi="Arial" w:cs="Arial"/>
        </w:rPr>
        <w:t>l</w:t>
      </w:r>
      <w:r w:rsidR="00105A17" w:rsidRPr="00105A17">
        <w:rPr>
          <w:rFonts w:ascii="Arial" w:hAnsi="Arial" w:cs="Arial"/>
        </w:rPr>
        <w:t xml:space="preserve">ymphocytic </w:t>
      </w:r>
      <w:r w:rsidR="004046CB">
        <w:rPr>
          <w:rFonts w:ascii="Arial" w:hAnsi="Arial" w:cs="Arial"/>
        </w:rPr>
        <w:t>l</w:t>
      </w:r>
      <w:r w:rsidR="00105A17" w:rsidRPr="00105A17">
        <w:rPr>
          <w:rFonts w:ascii="Arial" w:hAnsi="Arial" w:cs="Arial"/>
        </w:rPr>
        <w:t>ymphoma</w:t>
      </w:r>
      <w:r w:rsidR="004046CB">
        <w:rPr>
          <w:rFonts w:ascii="Arial" w:hAnsi="Arial" w:cs="Arial"/>
        </w:rPr>
        <w:t xml:space="preserve"> (SLL)</w:t>
      </w:r>
      <w:r w:rsidR="003671FB">
        <w:rPr>
          <w:rFonts w:ascii="Arial" w:hAnsi="Arial" w:cs="Arial"/>
        </w:rPr>
        <w:t xml:space="preserve"> or </w:t>
      </w:r>
      <w:r w:rsidR="003671FB" w:rsidRPr="003671FB">
        <w:rPr>
          <w:rFonts w:ascii="Arial" w:hAnsi="Arial" w:cs="Arial"/>
        </w:rPr>
        <w:t>Waldenström's macroglobulinemia</w:t>
      </w:r>
      <w:r w:rsidR="003671FB">
        <w:rPr>
          <w:rFonts w:ascii="Arial" w:hAnsi="Arial" w:cs="Arial"/>
        </w:rPr>
        <w:t xml:space="preserve"> (</w:t>
      </w:r>
      <w:r w:rsidR="008628C2">
        <w:rPr>
          <w:rFonts w:ascii="Arial" w:hAnsi="Arial" w:cs="Arial"/>
        </w:rPr>
        <w:t>WM</w:t>
      </w:r>
      <w:r w:rsidR="003671FB">
        <w:rPr>
          <w:rFonts w:ascii="Arial" w:hAnsi="Arial" w:cs="Arial"/>
        </w:rPr>
        <w:t>)</w:t>
      </w:r>
      <w:r w:rsidR="00105A17" w:rsidRPr="00105A17">
        <w:rPr>
          <w:rFonts w:ascii="Arial" w:hAnsi="Arial" w:cs="Arial"/>
        </w:rPr>
        <w:t xml:space="preserve"> </w:t>
      </w:r>
      <w:r>
        <w:rPr>
          <w:rFonts w:ascii="Arial" w:hAnsi="Arial" w:cs="Arial"/>
        </w:rPr>
        <w:t xml:space="preserve">and identify </w:t>
      </w:r>
      <w:r w:rsidRPr="005A274B">
        <w:rPr>
          <w:rFonts w:ascii="Arial" w:hAnsi="Arial" w:cs="Arial"/>
        </w:rPr>
        <w:t xml:space="preserve">critical prognostic and predictive factors </w:t>
      </w:r>
      <w:r>
        <w:rPr>
          <w:rFonts w:ascii="Arial" w:hAnsi="Arial" w:cs="Arial"/>
        </w:rPr>
        <w:t xml:space="preserve">influencing patient response and survival. </w:t>
      </w:r>
      <w:r w:rsidRPr="005A274B">
        <w:rPr>
          <w:rFonts w:ascii="Arial" w:hAnsi="Arial" w:cs="Arial"/>
        </w:rPr>
        <w:t xml:space="preserve">Our approach </w:t>
      </w:r>
      <w:r>
        <w:rPr>
          <w:rFonts w:ascii="Arial" w:hAnsi="Arial" w:cs="Arial"/>
        </w:rPr>
        <w:t xml:space="preserve">will </w:t>
      </w:r>
      <w:r w:rsidRPr="005A274B">
        <w:rPr>
          <w:rFonts w:ascii="Arial" w:hAnsi="Arial" w:cs="Arial"/>
        </w:rPr>
        <w:t xml:space="preserve">entail the application of data-mining techniques and causal inference methods to uncover prognostic and predictive factors and </w:t>
      </w:r>
      <w:r>
        <w:rPr>
          <w:rFonts w:ascii="Arial" w:hAnsi="Arial" w:cs="Arial"/>
        </w:rPr>
        <w:t xml:space="preserve">further </w:t>
      </w:r>
      <w:r w:rsidRPr="005A274B">
        <w:rPr>
          <w:rFonts w:ascii="Arial" w:hAnsi="Arial" w:cs="Arial"/>
        </w:rPr>
        <w:t xml:space="preserve">elucidate </w:t>
      </w:r>
      <w:r>
        <w:rPr>
          <w:rFonts w:ascii="Arial" w:hAnsi="Arial" w:cs="Arial"/>
        </w:rPr>
        <w:t xml:space="preserve">the </w:t>
      </w:r>
      <w:r w:rsidRPr="005A274B">
        <w:rPr>
          <w:rFonts w:ascii="Arial" w:hAnsi="Arial" w:cs="Arial"/>
        </w:rPr>
        <w:t xml:space="preserve">causal </w:t>
      </w:r>
      <w:r w:rsidR="00730511">
        <w:rPr>
          <w:rFonts w:ascii="Arial" w:hAnsi="Arial" w:cs="Arial"/>
        </w:rPr>
        <w:t>E</w:t>
      </w:r>
      <w:r>
        <w:rPr>
          <w:rFonts w:ascii="Arial" w:hAnsi="Arial" w:cs="Arial"/>
        </w:rPr>
        <w:t>-</w:t>
      </w:r>
      <w:r w:rsidRPr="005A274B">
        <w:rPr>
          <w:rFonts w:ascii="Arial" w:hAnsi="Arial" w:cs="Arial"/>
        </w:rPr>
        <w:t>R relationship</w:t>
      </w:r>
      <w:r>
        <w:rPr>
          <w:rFonts w:ascii="Arial" w:hAnsi="Arial" w:cs="Arial"/>
        </w:rPr>
        <w:t xml:space="preserve"> of </w:t>
      </w:r>
      <w:r w:rsidR="008F23AF">
        <w:rPr>
          <w:rFonts w:ascii="Arial" w:hAnsi="Arial" w:cs="Arial"/>
        </w:rPr>
        <w:t>ibrutinib</w:t>
      </w:r>
      <w:r>
        <w:rPr>
          <w:rFonts w:ascii="Arial" w:hAnsi="Arial" w:cs="Arial"/>
        </w:rPr>
        <w:t xml:space="preserve"> based on subgroup analysis</w:t>
      </w:r>
      <w:r w:rsidRPr="005A274B">
        <w:rPr>
          <w:rFonts w:ascii="Arial" w:hAnsi="Arial" w:cs="Arial"/>
        </w:rPr>
        <w:t>.</w:t>
      </w:r>
      <w:r>
        <w:rPr>
          <w:rFonts w:ascii="Arial" w:hAnsi="Arial" w:cs="Arial"/>
        </w:rPr>
        <w:t xml:space="preserve"> </w:t>
      </w:r>
    </w:p>
    <w:p w14:paraId="53EC089D" w14:textId="77777777" w:rsidR="00AB772C" w:rsidRDefault="00AB772C" w:rsidP="00AB772C">
      <w:pPr>
        <w:rPr>
          <w:rFonts w:ascii="Arial" w:hAnsi="Arial" w:cs="Arial"/>
          <w:b/>
          <w:bCs/>
        </w:rPr>
      </w:pPr>
    </w:p>
    <w:p w14:paraId="21135D8E" w14:textId="77777777" w:rsidR="00AB772C" w:rsidRPr="00770CB5" w:rsidRDefault="00AB772C" w:rsidP="00AB772C">
      <w:pPr>
        <w:rPr>
          <w:rFonts w:ascii="Arial" w:hAnsi="Arial" w:cs="Arial"/>
          <w:b/>
          <w:bCs/>
        </w:rPr>
      </w:pPr>
      <w:r w:rsidRPr="00770CB5">
        <w:rPr>
          <w:rFonts w:ascii="Arial" w:hAnsi="Arial" w:cs="Arial"/>
          <w:b/>
          <w:bCs/>
        </w:rPr>
        <w:t>Brief Project Background and Statement of Project Significance</w:t>
      </w:r>
    </w:p>
    <w:p w14:paraId="7EF8E759" w14:textId="77A28D93" w:rsidR="00AB772C" w:rsidRDefault="002F75F6" w:rsidP="00AB772C">
      <w:pPr>
        <w:rPr>
          <w:rFonts w:ascii="Arial" w:hAnsi="Arial" w:cs="Arial"/>
        </w:rPr>
      </w:pPr>
      <w:r>
        <w:rPr>
          <w:rFonts w:ascii="Arial" w:hAnsi="Arial" w:cs="Arial"/>
        </w:rPr>
        <w:t>CLL</w:t>
      </w:r>
      <w:r w:rsidR="00BE22A1">
        <w:rPr>
          <w:rFonts w:ascii="Arial" w:hAnsi="Arial" w:cs="Arial"/>
        </w:rPr>
        <w:t>,</w:t>
      </w:r>
      <w:r>
        <w:rPr>
          <w:rFonts w:ascii="Arial" w:hAnsi="Arial" w:cs="Arial"/>
        </w:rPr>
        <w:t xml:space="preserve"> SLL</w:t>
      </w:r>
      <w:r w:rsidR="00BE22A1">
        <w:rPr>
          <w:rFonts w:ascii="Arial" w:hAnsi="Arial" w:cs="Arial"/>
        </w:rPr>
        <w:t xml:space="preserve">, and WM are three </w:t>
      </w:r>
      <w:r w:rsidR="00114D43">
        <w:rPr>
          <w:rFonts w:ascii="Arial" w:hAnsi="Arial" w:cs="Arial"/>
        </w:rPr>
        <w:t xml:space="preserve">slow-growing </w:t>
      </w:r>
      <w:r w:rsidR="00BE22A1">
        <w:rPr>
          <w:rFonts w:ascii="Arial" w:hAnsi="Arial" w:cs="Arial"/>
        </w:rPr>
        <w:t xml:space="preserve">types </w:t>
      </w:r>
      <w:r>
        <w:rPr>
          <w:rFonts w:ascii="Arial" w:hAnsi="Arial" w:cs="Arial"/>
        </w:rPr>
        <w:t>of non-</w:t>
      </w:r>
      <w:r w:rsidR="00C65266">
        <w:rPr>
          <w:rFonts w:ascii="Arial" w:hAnsi="Arial" w:cs="Arial"/>
        </w:rPr>
        <w:t>Hodgkin lymphoma (NHL).</w:t>
      </w:r>
      <w:r w:rsidR="00AB772C" w:rsidRPr="005A274B">
        <w:rPr>
          <w:rFonts w:ascii="Arial" w:hAnsi="Arial" w:cs="Arial"/>
        </w:rPr>
        <w:t xml:space="preserve"> </w:t>
      </w:r>
      <w:r w:rsidR="00101278">
        <w:rPr>
          <w:rFonts w:ascii="Arial" w:hAnsi="Arial" w:cs="Arial"/>
        </w:rPr>
        <w:t xml:space="preserve">Ibrutinib, a </w:t>
      </w:r>
      <w:r w:rsidR="00F26276">
        <w:rPr>
          <w:rFonts w:ascii="Arial" w:hAnsi="Arial" w:cs="Arial"/>
        </w:rPr>
        <w:t xml:space="preserve">covalent inhibitor of </w:t>
      </w:r>
      <w:r w:rsidR="00382435">
        <w:rPr>
          <w:rFonts w:ascii="Arial" w:hAnsi="Arial" w:cs="Arial"/>
        </w:rPr>
        <w:t>Brut</w:t>
      </w:r>
      <w:r w:rsidR="00F26276">
        <w:rPr>
          <w:rFonts w:ascii="Arial" w:hAnsi="Arial" w:cs="Arial"/>
        </w:rPr>
        <w:t>on’s tyrosine kinase (</w:t>
      </w:r>
      <w:r w:rsidR="00101278">
        <w:rPr>
          <w:rFonts w:ascii="Arial" w:hAnsi="Arial" w:cs="Arial"/>
        </w:rPr>
        <w:t>BTK</w:t>
      </w:r>
      <w:r w:rsidR="00F26276">
        <w:rPr>
          <w:rFonts w:ascii="Arial" w:hAnsi="Arial" w:cs="Arial"/>
        </w:rPr>
        <w:t>)</w:t>
      </w:r>
      <w:r w:rsidR="00101278">
        <w:rPr>
          <w:rFonts w:ascii="Arial" w:hAnsi="Arial" w:cs="Arial"/>
        </w:rPr>
        <w:t xml:space="preserve">, has </w:t>
      </w:r>
      <w:r w:rsidR="00A23587">
        <w:rPr>
          <w:rFonts w:ascii="Arial" w:hAnsi="Arial" w:cs="Arial"/>
        </w:rPr>
        <w:t xml:space="preserve">become one of </w:t>
      </w:r>
      <w:r w:rsidR="00A23587">
        <w:rPr>
          <w:rFonts w:ascii="Arial" w:hAnsi="Arial" w:cs="Arial"/>
        </w:rPr>
        <w:lastRenderedPageBreak/>
        <w:t xml:space="preserve">the promising target </w:t>
      </w:r>
      <w:r w:rsidR="00331A57">
        <w:rPr>
          <w:rFonts w:ascii="Arial" w:hAnsi="Arial" w:cs="Arial"/>
        </w:rPr>
        <w:t>therapies</w:t>
      </w:r>
      <w:r w:rsidR="00A23587">
        <w:rPr>
          <w:rFonts w:ascii="Arial" w:hAnsi="Arial" w:cs="Arial"/>
        </w:rPr>
        <w:t xml:space="preserve"> </w:t>
      </w:r>
      <w:r w:rsidR="00101278">
        <w:rPr>
          <w:rFonts w:ascii="Arial" w:hAnsi="Arial" w:cs="Arial"/>
        </w:rPr>
        <w:t>in treating these diseases</w:t>
      </w:r>
      <w:r w:rsidR="00BB7553">
        <w:rPr>
          <w:rFonts w:ascii="Arial" w:hAnsi="Arial" w:cs="Arial"/>
        </w:rPr>
        <w:fldChar w:fldCharType="begin"/>
      </w:r>
      <w:r w:rsidR="00BB7553">
        <w:rPr>
          <w:rFonts w:ascii="Arial" w:hAnsi="Arial" w:cs="Arial"/>
        </w:rPr>
        <w:instrText xml:space="preserve"> ADDIN ZOTERO_ITEM CSL_CITATION {"citationID":"q3vLv8vi","properties":{"formattedCitation":"\\super 2\\nosupersub{}","plainCitation":"2","noteIndex":0},"citationItems":[{"id":5822,"uris":["http://zotero.org/users/9693191/items/M82TBBHQ"],"itemData":{"id":</w:instrText>
      </w:r>
      <w:r w:rsidR="00BB7553">
        <w:rPr>
          <w:rFonts w:ascii="Arial" w:hAnsi="Arial" w:cs="Arial" w:hint="eastAsia"/>
        </w:rPr>
        <w:instrText>5822,"type":"article-journal","abstract":"Ibrutinib, a once</w:instrText>
      </w:r>
      <w:r w:rsidR="00BB7553">
        <w:rPr>
          <w:rFonts w:ascii="Arial" w:hAnsi="Arial" w:cs="Arial" w:hint="eastAsia"/>
        </w:rPr>
        <w:instrText>‐</w:instrText>
      </w:r>
      <w:r w:rsidR="00BB7553">
        <w:rPr>
          <w:rFonts w:ascii="Arial" w:hAnsi="Arial" w:cs="Arial" w:hint="eastAsia"/>
        </w:rPr>
        <w:instrText>daily oral inhibitor of Bruton's tyrosine kinase, is approved in the United States and Europe for treatment of patients with chronic lymphocytic leukemia (CLL) or small lymphocytic lymphoma (SLL). The phase 3 RESONATE study showed improved efficacy of single</w:instrText>
      </w:r>
      <w:r w:rsidR="00BB7553">
        <w:rPr>
          <w:rFonts w:ascii="Arial" w:hAnsi="Arial" w:cs="Arial" w:hint="eastAsia"/>
        </w:rPr>
        <w:instrText>‐</w:instrText>
      </w:r>
      <w:r w:rsidR="00BB7553">
        <w:rPr>
          <w:rFonts w:ascii="Arial" w:hAnsi="Arial" w:cs="Arial" w:hint="eastAsia"/>
        </w:rPr>
        <w:instrText>agent ibrutinib over ofatumumab in patients with relapsed/refractory CLL/SLL, including those with high</w:instrText>
      </w:r>
      <w:r w:rsidR="00BB7553">
        <w:rPr>
          <w:rFonts w:ascii="Arial" w:hAnsi="Arial" w:cs="Arial" w:hint="eastAsia"/>
        </w:rPr>
        <w:instrText>‐</w:instrText>
      </w:r>
      <w:r w:rsidR="00BB7553">
        <w:rPr>
          <w:rFonts w:ascii="Arial" w:hAnsi="Arial" w:cs="Arial" w:hint="eastAsia"/>
        </w:rPr>
        <w:instrText>risk features. Here we report the final analysis from RESONATE with median follow</w:instrText>
      </w:r>
      <w:r w:rsidR="00BB7553">
        <w:rPr>
          <w:rFonts w:ascii="Arial" w:hAnsi="Arial" w:cs="Arial" w:hint="eastAsia"/>
        </w:rPr>
        <w:instrText>‐</w:instrText>
      </w:r>
      <w:r w:rsidR="00BB7553">
        <w:rPr>
          <w:rFonts w:ascii="Arial" w:hAnsi="Arial" w:cs="Arial" w:hint="eastAsia"/>
        </w:rPr>
        <w:instrText>up on</w:instrText>
      </w:r>
      <w:r w:rsidR="00BB7553">
        <w:rPr>
          <w:rFonts w:ascii="Arial" w:hAnsi="Arial" w:cs="Arial"/>
        </w:rPr>
        <w:instrText xml:space="preserve"> study of 65.3 months (range, 0.3</w:instrText>
      </w:r>
      <w:r w:rsidR="00BB7553">
        <w:rPr>
          <w:rFonts w:ascii="Arial" w:hAnsi="Arial" w:cs="Arial" w:hint="eastAsia"/>
        </w:rPr>
        <w:instrText>‐</w:instrText>
      </w:r>
      <w:r w:rsidR="00BB7553">
        <w:rPr>
          <w:rFonts w:ascii="Arial" w:hAnsi="Arial" w:cs="Arial"/>
        </w:rPr>
        <w:instrText>71.6) in the ibrutinib arm. Median progression</w:instrText>
      </w:r>
      <w:r w:rsidR="00BB7553">
        <w:rPr>
          <w:rFonts w:ascii="Arial" w:hAnsi="Arial" w:cs="Arial" w:hint="eastAsia"/>
        </w:rPr>
        <w:instrText>‐</w:instrText>
      </w:r>
      <w:r w:rsidR="00BB7553">
        <w:rPr>
          <w:rFonts w:ascii="Arial" w:hAnsi="Arial" w:cs="Arial"/>
        </w:rPr>
        <w:instrText>free survival (PFS) remained significantly longer for patients randomized to ibrutinib vs ofatumumab (44.1 vs 8.1 months; hazard ratio [HR]: 0.148; 95% confidence interval [CI]: 0.113</w:instrText>
      </w:r>
      <w:r w:rsidR="00BB7553">
        <w:rPr>
          <w:rFonts w:ascii="Arial" w:hAnsi="Arial" w:cs="Arial" w:hint="eastAsia"/>
        </w:rPr>
        <w:instrText>‐</w:instrText>
      </w:r>
      <w:r w:rsidR="00BB7553">
        <w:rPr>
          <w:rFonts w:ascii="Arial" w:hAnsi="Arial" w:cs="Arial"/>
        </w:rPr>
        <w:instrText>0.196; P˂.001). The PFS benefit with ibrutinib vs ofatumumab was preserved in the genomic high</w:instrText>
      </w:r>
      <w:r w:rsidR="00BB7553">
        <w:rPr>
          <w:rFonts w:ascii="Arial" w:hAnsi="Arial" w:cs="Arial" w:hint="eastAsia"/>
        </w:rPr>
        <w:instrText>‐</w:instrText>
      </w:r>
      <w:r w:rsidR="00BB7553">
        <w:rPr>
          <w:rFonts w:ascii="Arial" w:hAnsi="Arial" w:cs="Arial"/>
        </w:rPr>
        <w:instrText>risk population with del(17p), TP53 mutation, del(11q), and/or unmutated IGHV status (median PFS 44.1 vs 8.0 months; HR: 0.110; 95% CI: 0.080</w:instrText>
      </w:r>
      <w:r w:rsidR="00BB7553">
        <w:rPr>
          <w:rFonts w:ascii="Arial" w:hAnsi="Arial" w:cs="Arial" w:hint="eastAsia"/>
        </w:rPr>
        <w:instrText>‐</w:instrText>
      </w:r>
      <w:r w:rsidR="00BB7553">
        <w:rPr>
          <w:rFonts w:ascii="Arial" w:hAnsi="Arial" w:cs="Arial"/>
        </w:rPr>
        <w:instrText>0.152), which represented 82% of patients. Overall response rate with ibrutinib was 91% (complete response/complete response with incomplete bone marrow recovery, 11%). Overall survival, censored for crossover, was better with ibrutinib than ofatumumab (HR: 0.639; 95% CI: 0.418</w:instrText>
      </w:r>
      <w:r w:rsidR="00BB7553">
        <w:rPr>
          <w:rFonts w:ascii="Arial" w:hAnsi="Arial" w:cs="Arial" w:hint="eastAsia"/>
        </w:rPr>
        <w:instrText>‐</w:instrText>
      </w:r>
      <w:r w:rsidR="00BB7553">
        <w:rPr>
          <w:rFonts w:ascii="Arial" w:hAnsi="Arial" w:cs="Arial"/>
        </w:rPr>
        <w:instrText>0.975). With up to 71 months (median 41 months) of ibrutinib therapy, the safety profile remained consistent with prior reports; cumulatively, all</w:instrText>
      </w:r>
      <w:r w:rsidR="00BB7553">
        <w:rPr>
          <w:rFonts w:ascii="Arial" w:hAnsi="Arial" w:cs="Arial" w:hint="eastAsia"/>
        </w:rPr>
        <w:instrText>‐</w:instrText>
      </w:r>
      <w:r w:rsidR="00BB7553">
        <w:rPr>
          <w:rFonts w:ascii="Arial" w:hAnsi="Arial" w:cs="Arial"/>
        </w:rPr>
        <w:instrText>grade (grade </w:instrText>
      </w:r>
      <w:r w:rsidR="00BB7553">
        <w:rPr>
          <w:rFonts w:ascii="Arial" w:hAnsi="Arial" w:cs="Arial" w:hint="eastAsia"/>
        </w:rPr>
        <w:instrText>≥</w:instrText>
      </w:r>
      <w:r w:rsidR="00BB7553">
        <w:rPr>
          <w:rFonts w:ascii="Arial" w:hAnsi="Arial" w:cs="Arial"/>
        </w:rPr>
        <w:instrText>3) hypertension and atrial fibrillation occurred in 21% (9%) and 12% (6%) of p</w:instrText>
      </w:r>
      <w:r w:rsidR="00BB7553">
        <w:rPr>
          <w:rFonts w:ascii="Arial" w:hAnsi="Arial" w:cs="Arial" w:hint="eastAsia"/>
        </w:rPr>
        <w:instrText>atients, respectively. Only 16% discontinued ibrutinib because of adverse events (AEs). These long</w:instrText>
      </w:r>
      <w:r w:rsidR="00BB7553">
        <w:rPr>
          <w:rFonts w:ascii="Arial" w:hAnsi="Arial" w:cs="Arial" w:hint="eastAsia"/>
        </w:rPr>
        <w:instrText>‐</w:instrText>
      </w:r>
      <w:r w:rsidR="00BB7553">
        <w:rPr>
          <w:rFonts w:ascii="Arial" w:hAnsi="Arial" w:cs="Arial" w:hint="eastAsia"/>
        </w:rPr>
        <w:instrText>term results confirm the robust efficacy of ibrutinib in relapsed/refractory CLL/SLL irrespective of high</w:instrText>
      </w:r>
      <w:r w:rsidR="00BB7553">
        <w:rPr>
          <w:rFonts w:ascii="Arial" w:hAnsi="Arial" w:cs="Arial" w:hint="eastAsia"/>
        </w:rPr>
        <w:instrText>‐</w:instrText>
      </w:r>
      <w:r w:rsidR="00BB7553">
        <w:rPr>
          <w:rFonts w:ascii="Arial" w:hAnsi="Arial" w:cs="Arial" w:hint="eastAsia"/>
        </w:rPr>
        <w:instrText>risk clinical or genomic features, with no unexpec</w:instrText>
      </w:r>
      <w:r w:rsidR="00BB7553">
        <w:rPr>
          <w:rFonts w:ascii="Arial" w:hAnsi="Arial" w:cs="Arial"/>
        </w:rPr>
        <w:instrText>ted AEs. This trial is registered at http://www.clinicaltrials.gov (NCT01578707).","container-title":"American Journal of Hematology","DOI":"10.1002/ajh.25638","ISSN":"0361-8609","issue":"12","journalAbbreviation":"Am J Hematol","note":"PMID: 31512258\nPM</w:instrText>
      </w:r>
      <w:r w:rsidR="00BB7553">
        <w:rPr>
          <w:rFonts w:ascii="Arial" w:hAnsi="Arial" w:cs="Arial" w:hint="eastAsia"/>
        </w:rPr>
        <w:instrText>CID: PMC6899718","page":"1353-1363","source":"PubMed Central","title":"Final analysis from RESONATE: Up to six years of follow</w:instrText>
      </w:r>
      <w:r w:rsidR="00BB7553">
        <w:rPr>
          <w:rFonts w:ascii="Arial" w:hAnsi="Arial" w:cs="Arial" w:hint="eastAsia"/>
        </w:rPr>
        <w:instrText>‐</w:instrText>
      </w:r>
      <w:r w:rsidR="00BB7553">
        <w:rPr>
          <w:rFonts w:ascii="Arial" w:hAnsi="Arial" w:cs="Arial" w:hint="eastAsia"/>
        </w:rPr>
        <w:instrText>up on ibrutinib in patients with previously treated chronic lymphocytic leukemia or small lymphocytic lymphoma","title-short":"F</w:instrText>
      </w:r>
      <w:r w:rsidR="00BB7553">
        <w:rPr>
          <w:rFonts w:ascii="Arial" w:hAnsi="Arial" w:cs="Arial"/>
        </w:rPr>
        <w:instrText xml:space="preserve">inal analysis from RESONATE","volume":"94","author":[{"family":"Munir","given":"Talha"},{"family":"Brown","given":"Jennifer R."},{"family":"O'Brien","given":"Susan"},{"family":"Barrientos","given":"Jacqueline C."},{"family":"Barr","given":"Paul M."},{"family":"Reddy","given":"Nishitha M."},{"family":"Coutre","given":"Steven"},{"family":"Tam","given":"Constantine S."},{"family":"Mulligan","given":"Stephen P."},{"family":"Jaeger","given":"Ulrich"},{"family":"Kipps","given":"Thomas J."},{"family":"Moreno","given":"Carol"},{"family":"Montillo","given":"Marco"},{"family":"Burger","given":"Jan A."},{"family":"Byrd","given":"John C."},{"family":"Hillmen","given":"Peter"},{"family":"Dai","given":"Sandra"},{"family":"Szoke","given":"Anita"},{"family":"Dean","given":"James P."},{"family":"Woyach","given":"Jennifer A."}],"issued":{"date-parts":[["2019",12]]},"citation-key":"munirFinalAnalysisRESONATE2019"}}],"schema":"https://github.com/citation-style-language/schema/raw/master/csl-citation.json"} </w:instrText>
      </w:r>
      <w:r w:rsidR="00BB7553">
        <w:rPr>
          <w:rFonts w:ascii="Arial" w:hAnsi="Arial" w:cs="Arial"/>
        </w:rPr>
        <w:fldChar w:fldCharType="separate"/>
      </w:r>
      <w:r w:rsidR="00BB7553" w:rsidRPr="00BB7553">
        <w:rPr>
          <w:rFonts w:ascii="Arial" w:hAnsi="Arial" w:cs="Arial"/>
          <w:kern w:val="0"/>
          <w:szCs w:val="24"/>
          <w:vertAlign w:val="superscript"/>
        </w:rPr>
        <w:t>2</w:t>
      </w:r>
      <w:r w:rsidR="00BB7553">
        <w:rPr>
          <w:rFonts w:ascii="Arial" w:hAnsi="Arial" w:cs="Arial"/>
        </w:rPr>
        <w:fldChar w:fldCharType="end"/>
      </w:r>
      <w:r w:rsidR="00101278">
        <w:rPr>
          <w:rFonts w:ascii="Arial" w:hAnsi="Arial" w:cs="Arial"/>
        </w:rPr>
        <w:t xml:space="preserve">. </w:t>
      </w:r>
      <w:r w:rsidR="00ED55BE">
        <w:rPr>
          <w:rFonts w:ascii="Arial" w:hAnsi="Arial" w:cs="Arial"/>
        </w:rPr>
        <w:t>Considering</w:t>
      </w:r>
      <w:r w:rsidR="002B28B8">
        <w:rPr>
          <w:rFonts w:ascii="Arial" w:hAnsi="Arial" w:cs="Arial"/>
        </w:rPr>
        <w:t xml:space="preserve"> their slight differences in clinical features, </w:t>
      </w:r>
      <w:r w:rsidR="00034B67">
        <w:rPr>
          <w:rFonts w:ascii="Arial" w:hAnsi="Arial" w:cs="Arial"/>
        </w:rPr>
        <w:t>the E-R relationship</w:t>
      </w:r>
      <w:r w:rsidR="001753AF">
        <w:rPr>
          <w:rFonts w:ascii="Arial" w:hAnsi="Arial" w:cs="Arial"/>
        </w:rPr>
        <w:t>s</w:t>
      </w:r>
      <w:r w:rsidR="00034B67">
        <w:rPr>
          <w:rFonts w:ascii="Arial" w:hAnsi="Arial" w:cs="Arial"/>
        </w:rPr>
        <w:t xml:space="preserve"> of ibrutinib </w:t>
      </w:r>
      <w:r w:rsidR="001753AF">
        <w:rPr>
          <w:rFonts w:ascii="Arial" w:hAnsi="Arial" w:cs="Arial"/>
        </w:rPr>
        <w:t xml:space="preserve">may be shaped in different ways </w:t>
      </w:r>
      <w:r w:rsidR="00FF3D8D">
        <w:rPr>
          <w:rFonts w:ascii="Arial" w:hAnsi="Arial" w:cs="Arial"/>
        </w:rPr>
        <w:t>by</w:t>
      </w:r>
      <w:r w:rsidR="001753AF">
        <w:rPr>
          <w:rFonts w:ascii="Arial" w:hAnsi="Arial" w:cs="Arial"/>
        </w:rPr>
        <w:t xml:space="preserve"> </w:t>
      </w:r>
      <w:r w:rsidR="001B1E90">
        <w:rPr>
          <w:rFonts w:ascii="Arial" w:hAnsi="Arial" w:cs="Arial"/>
        </w:rPr>
        <w:t xml:space="preserve">different disease features. However, </w:t>
      </w:r>
      <w:r w:rsidR="00560577">
        <w:rPr>
          <w:rFonts w:ascii="Arial" w:hAnsi="Arial" w:cs="Arial"/>
        </w:rPr>
        <w:t xml:space="preserve">conventional E-R analyses </w:t>
      </w:r>
      <w:r w:rsidR="00AB1ECE">
        <w:rPr>
          <w:rFonts w:ascii="Arial" w:hAnsi="Arial" w:cs="Arial"/>
        </w:rPr>
        <w:t xml:space="preserve">were </w:t>
      </w:r>
      <w:r w:rsidR="00560577">
        <w:rPr>
          <w:rFonts w:ascii="Arial" w:hAnsi="Arial" w:cs="Arial"/>
        </w:rPr>
        <w:t xml:space="preserve">usually </w:t>
      </w:r>
      <w:r w:rsidR="00372169">
        <w:rPr>
          <w:rFonts w:ascii="Arial" w:hAnsi="Arial" w:cs="Arial"/>
        </w:rPr>
        <w:t xml:space="preserve">conducted </w:t>
      </w:r>
      <w:r w:rsidR="00B248AA">
        <w:rPr>
          <w:rFonts w:ascii="Arial" w:hAnsi="Arial" w:cs="Arial"/>
        </w:rPr>
        <w:t>based on</w:t>
      </w:r>
      <w:r w:rsidR="003C160C">
        <w:rPr>
          <w:rFonts w:ascii="Arial" w:hAnsi="Arial" w:cs="Arial"/>
        </w:rPr>
        <w:t xml:space="preserve"> a</w:t>
      </w:r>
      <w:r w:rsidR="00372169">
        <w:rPr>
          <w:rFonts w:ascii="Arial" w:hAnsi="Arial" w:cs="Arial"/>
        </w:rPr>
        <w:t xml:space="preserve"> </w:t>
      </w:r>
      <w:r w:rsidR="00354CAF">
        <w:rPr>
          <w:rFonts w:ascii="Arial" w:hAnsi="Arial" w:cs="Arial"/>
        </w:rPr>
        <w:t xml:space="preserve">pooled </w:t>
      </w:r>
      <w:r w:rsidR="003C160C">
        <w:rPr>
          <w:rFonts w:ascii="Arial" w:hAnsi="Arial" w:cs="Arial"/>
        </w:rPr>
        <w:t>population</w:t>
      </w:r>
      <w:r w:rsidR="001361BD">
        <w:rPr>
          <w:rFonts w:ascii="Arial" w:hAnsi="Arial" w:cs="Arial"/>
        </w:rPr>
        <w:fldChar w:fldCharType="begin"/>
      </w:r>
      <w:r w:rsidR="001361BD">
        <w:rPr>
          <w:rFonts w:ascii="Arial" w:hAnsi="Arial" w:cs="Arial"/>
        </w:rPr>
        <w:instrText xml:space="preserve"> ADDIN ZOTERO_ITEM CSL_CITATION {"citationID":"kdJMGt5b","properties":{"formattedCitation":"\\super 2\\nosupersub{}","plainCitation":"2","noteIndex":0},"citationItems":[{"id":5822,"uris":["http://zotero.org/users/9693191/items/M82TBBHQ"],"itemData":{"id":</w:instrText>
      </w:r>
      <w:r w:rsidR="001361BD">
        <w:rPr>
          <w:rFonts w:ascii="Arial" w:hAnsi="Arial" w:cs="Arial" w:hint="eastAsia"/>
        </w:rPr>
        <w:instrText>5822,"type":"article-journal","abstract":"Ibrutinib, a once</w:instrText>
      </w:r>
      <w:r w:rsidR="001361BD">
        <w:rPr>
          <w:rFonts w:ascii="Arial" w:hAnsi="Arial" w:cs="Arial" w:hint="eastAsia"/>
        </w:rPr>
        <w:instrText>‐</w:instrText>
      </w:r>
      <w:r w:rsidR="001361BD">
        <w:rPr>
          <w:rFonts w:ascii="Arial" w:hAnsi="Arial" w:cs="Arial" w:hint="eastAsia"/>
        </w:rPr>
        <w:instrText>daily oral inhibitor of Bruton's tyrosine kinase, is approved in the United States and Europe for treatment of patients with chronic lymphocytic leukemia (CLL) or small lymphocytic lymphoma (SLL). The phase 3 RESONATE study showed improved efficacy of single</w:instrText>
      </w:r>
      <w:r w:rsidR="001361BD">
        <w:rPr>
          <w:rFonts w:ascii="Arial" w:hAnsi="Arial" w:cs="Arial" w:hint="eastAsia"/>
        </w:rPr>
        <w:instrText>‐</w:instrText>
      </w:r>
      <w:r w:rsidR="001361BD">
        <w:rPr>
          <w:rFonts w:ascii="Arial" w:hAnsi="Arial" w:cs="Arial" w:hint="eastAsia"/>
        </w:rPr>
        <w:instrText>agent ibrutinib over ofatumumab in patients with relapsed/refractory CLL/SLL, including those with high</w:instrText>
      </w:r>
      <w:r w:rsidR="001361BD">
        <w:rPr>
          <w:rFonts w:ascii="Arial" w:hAnsi="Arial" w:cs="Arial" w:hint="eastAsia"/>
        </w:rPr>
        <w:instrText>‐</w:instrText>
      </w:r>
      <w:r w:rsidR="001361BD">
        <w:rPr>
          <w:rFonts w:ascii="Arial" w:hAnsi="Arial" w:cs="Arial" w:hint="eastAsia"/>
        </w:rPr>
        <w:instrText>risk features. Here we report the final analysis from RESONATE with median follow</w:instrText>
      </w:r>
      <w:r w:rsidR="001361BD">
        <w:rPr>
          <w:rFonts w:ascii="Arial" w:hAnsi="Arial" w:cs="Arial" w:hint="eastAsia"/>
        </w:rPr>
        <w:instrText>‐</w:instrText>
      </w:r>
      <w:r w:rsidR="001361BD">
        <w:rPr>
          <w:rFonts w:ascii="Arial" w:hAnsi="Arial" w:cs="Arial" w:hint="eastAsia"/>
        </w:rPr>
        <w:instrText>up on</w:instrText>
      </w:r>
      <w:r w:rsidR="001361BD">
        <w:rPr>
          <w:rFonts w:ascii="Arial" w:hAnsi="Arial" w:cs="Arial"/>
        </w:rPr>
        <w:instrText xml:space="preserve"> study of 65.3 months (range, 0.3</w:instrText>
      </w:r>
      <w:r w:rsidR="001361BD">
        <w:rPr>
          <w:rFonts w:ascii="Arial" w:hAnsi="Arial" w:cs="Arial" w:hint="eastAsia"/>
        </w:rPr>
        <w:instrText>‐</w:instrText>
      </w:r>
      <w:r w:rsidR="001361BD">
        <w:rPr>
          <w:rFonts w:ascii="Arial" w:hAnsi="Arial" w:cs="Arial"/>
        </w:rPr>
        <w:instrText>71.6) in the ibrutinib arm. Median progression</w:instrText>
      </w:r>
      <w:r w:rsidR="001361BD">
        <w:rPr>
          <w:rFonts w:ascii="Arial" w:hAnsi="Arial" w:cs="Arial" w:hint="eastAsia"/>
        </w:rPr>
        <w:instrText>‐</w:instrText>
      </w:r>
      <w:r w:rsidR="001361BD">
        <w:rPr>
          <w:rFonts w:ascii="Arial" w:hAnsi="Arial" w:cs="Arial"/>
        </w:rPr>
        <w:instrText>free survival (PFS) remained significantly longer for patients randomized to ibrutinib vs ofatumumab (44.1 vs 8.1 months; hazard ratio [HR]: 0.148; 95% confidence interval [CI]: 0.113</w:instrText>
      </w:r>
      <w:r w:rsidR="001361BD">
        <w:rPr>
          <w:rFonts w:ascii="Arial" w:hAnsi="Arial" w:cs="Arial" w:hint="eastAsia"/>
        </w:rPr>
        <w:instrText>‐</w:instrText>
      </w:r>
      <w:r w:rsidR="001361BD">
        <w:rPr>
          <w:rFonts w:ascii="Arial" w:hAnsi="Arial" w:cs="Arial"/>
        </w:rPr>
        <w:instrText>0.196; P˂.001). The PFS benefit with ibrutinib vs ofatumumab was preserved in the genomic high</w:instrText>
      </w:r>
      <w:r w:rsidR="001361BD">
        <w:rPr>
          <w:rFonts w:ascii="Arial" w:hAnsi="Arial" w:cs="Arial" w:hint="eastAsia"/>
        </w:rPr>
        <w:instrText>‐</w:instrText>
      </w:r>
      <w:r w:rsidR="001361BD">
        <w:rPr>
          <w:rFonts w:ascii="Arial" w:hAnsi="Arial" w:cs="Arial"/>
        </w:rPr>
        <w:instrText>risk population with del(17p), TP53 mutation, del(11q), and/or unmutated IGHV status (median PFS 44.1 vs 8.0 months; HR: 0.110; 95% CI: 0.080</w:instrText>
      </w:r>
      <w:r w:rsidR="001361BD">
        <w:rPr>
          <w:rFonts w:ascii="Arial" w:hAnsi="Arial" w:cs="Arial" w:hint="eastAsia"/>
        </w:rPr>
        <w:instrText>‐</w:instrText>
      </w:r>
      <w:r w:rsidR="001361BD">
        <w:rPr>
          <w:rFonts w:ascii="Arial" w:hAnsi="Arial" w:cs="Arial"/>
        </w:rPr>
        <w:instrText>0.152), which represented 82% of patients. Overall response rate with ibrutinib was 91% (complete response/complete response with incomplete bone marrow recovery, 11%). Overall survival, censored for crossover, was better with ibrutinib than ofatumumab (HR: 0.639; 95% CI: 0.418</w:instrText>
      </w:r>
      <w:r w:rsidR="001361BD">
        <w:rPr>
          <w:rFonts w:ascii="Arial" w:hAnsi="Arial" w:cs="Arial" w:hint="eastAsia"/>
        </w:rPr>
        <w:instrText>‐</w:instrText>
      </w:r>
      <w:r w:rsidR="001361BD">
        <w:rPr>
          <w:rFonts w:ascii="Arial" w:hAnsi="Arial" w:cs="Arial"/>
        </w:rPr>
        <w:instrText>0.975). With up to 71 months (median 41 months) of ibrutinib therapy, the safety profile remained consistent with prior reports; cumulatively, all</w:instrText>
      </w:r>
      <w:r w:rsidR="001361BD">
        <w:rPr>
          <w:rFonts w:ascii="Arial" w:hAnsi="Arial" w:cs="Arial" w:hint="eastAsia"/>
        </w:rPr>
        <w:instrText>‐</w:instrText>
      </w:r>
      <w:r w:rsidR="001361BD">
        <w:rPr>
          <w:rFonts w:ascii="Arial" w:hAnsi="Arial" w:cs="Arial"/>
        </w:rPr>
        <w:instrText>grade (grade </w:instrText>
      </w:r>
      <w:r w:rsidR="001361BD">
        <w:rPr>
          <w:rFonts w:ascii="Arial" w:hAnsi="Arial" w:cs="Arial" w:hint="eastAsia"/>
        </w:rPr>
        <w:instrText>≥</w:instrText>
      </w:r>
      <w:r w:rsidR="001361BD">
        <w:rPr>
          <w:rFonts w:ascii="Arial" w:hAnsi="Arial" w:cs="Arial"/>
        </w:rPr>
        <w:instrText>3) hypertension and atrial fibrillation occurred in 21% (9%) and 12% (6%) of p</w:instrText>
      </w:r>
      <w:r w:rsidR="001361BD">
        <w:rPr>
          <w:rFonts w:ascii="Arial" w:hAnsi="Arial" w:cs="Arial" w:hint="eastAsia"/>
        </w:rPr>
        <w:instrText>atients, respectively. Only 16% discontinued ibrutinib because of adverse events (AEs). These long</w:instrText>
      </w:r>
      <w:r w:rsidR="001361BD">
        <w:rPr>
          <w:rFonts w:ascii="Arial" w:hAnsi="Arial" w:cs="Arial" w:hint="eastAsia"/>
        </w:rPr>
        <w:instrText>‐</w:instrText>
      </w:r>
      <w:r w:rsidR="001361BD">
        <w:rPr>
          <w:rFonts w:ascii="Arial" w:hAnsi="Arial" w:cs="Arial" w:hint="eastAsia"/>
        </w:rPr>
        <w:instrText>term results confirm the robust efficacy of ibrutinib in relapsed/refractory CLL/SLL irrespective of high</w:instrText>
      </w:r>
      <w:r w:rsidR="001361BD">
        <w:rPr>
          <w:rFonts w:ascii="Arial" w:hAnsi="Arial" w:cs="Arial" w:hint="eastAsia"/>
        </w:rPr>
        <w:instrText>‐</w:instrText>
      </w:r>
      <w:r w:rsidR="001361BD">
        <w:rPr>
          <w:rFonts w:ascii="Arial" w:hAnsi="Arial" w:cs="Arial" w:hint="eastAsia"/>
        </w:rPr>
        <w:instrText>risk clinical or genomic features, with no unexpec</w:instrText>
      </w:r>
      <w:r w:rsidR="001361BD">
        <w:rPr>
          <w:rFonts w:ascii="Arial" w:hAnsi="Arial" w:cs="Arial"/>
        </w:rPr>
        <w:instrText>ted AEs. This trial is registered at http://www.clinicaltrials.gov (NCT01578707).","container-title":"American Journal of Hematology","DOI":"10.1002/ajh.25638","ISSN":"0361-8609","issue":"12","journalAbbreviation":"Am J Hematol","note":"PMID: 31512258\nPM</w:instrText>
      </w:r>
      <w:r w:rsidR="001361BD">
        <w:rPr>
          <w:rFonts w:ascii="Arial" w:hAnsi="Arial" w:cs="Arial" w:hint="eastAsia"/>
        </w:rPr>
        <w:instrText>CID: PMC6899718","page":"1353-1363","source":"PubMed Central","title":"Final analysis from RESONATE: Up to six years of follow</w:instrText>
      </w:r>
      <w:r w:rsidR="001361BD">
        <w:rPr>
          <w:rFonts w:ascii="Arial" w:hAnsi="Arial" w:cs="Arial" w:hint="eastAsia"/>
        </w:rPr>
        <w:instrText>‐</w:instrText>
      </w:r>
      <w:r w:rsidR="001361BD">
        <w:rPr>
          <w:rFonts w:ascii="Arial" w:hAnsi="Arial" w:cs="Arial" w:hint="eastAsia"/>
        </w:rPr>
        <w:instrText>up on ibrutinib in patients with previously treated chronic lymphocytic leukemia or small lymphocytic lymphoma","title-short":"F</w:instrText>
      </w:r>
      <w:r w:rsidR="001361BD">
        <w:rPr>
          <w:rFonts w:ascii="Arial" w:hAnsi="Arial" w:cs="Arial"/>
        </w:rPr>
        <w:instrText xml:space="preserve">inal analysis from RESONATE","volume":"94","author":[{"family":"Munir","given":"Talha"},{"family":"Brown","given":"Jennifer R."},{"family":"O'Brien","given":"Susan"},{"family":"Barrientos","given":"Jacqueline C."},{"family":"Barr","given":"Paul M."},{"family":"Reddy","given":"Nishitha M."},{"family":"Coutre","given":"Steven"},{"family":"Tam","given":"Constantine S."},{"family":"Mulligan","given":"Stephen P."},{"family":"Jaeger","given":"Ulrich"},{"family":"Kipps","given":"Thomas J."},{"family":"Moreno","given":"Carol"},{"family":"Montillo","given":"Marco"},{"family":"Burger","given":"Jan A."},{"family":"Byrd","given":"John C."},{"family":"Hillmen","given":"Peter"},{"family":"Dai","given":"Sandra"},{"family":"Szoke","given":"Anita"},{"family":"Dean","given":"James P."},{"family":"Woyach","given":"Jennifer A."}],"issued":{"date-parts":[["2019",12]]},"citation-key":"munirFinalAnalysisRESONATE2019"}}],"schema":"https://github.com/citation-style-language/schema/raw/master/csl-citation.json"} </w:instrText>
      </w:r>
      <w:r w:rsidR="001361BD">
        <w:rPr>
          <w:rFonts w:ascii="Arial" w:hAnsi="Arial" w:cs="Arial"/>
        </w:rPr>
        <w:fldChar w:fldCharType="separate"/>
      </w:r>
      <w:r w:rsidR="001361BD" w:rsidRPr="001361BD">
        <w:rPr>
          <w:rFonts w:ascii="Arial" w:hAnsi="Arial" w:cs="Arial"/>
          <w:kern w:val="0"/>
          <w:szCs w:val="24"/>
          <w:vertAlign w:val="superscript"/>
        </w:rPr>
        <w:t>2</w:t>
      </w:r>
      <w:r w:rsidR="001361BD">
        <w:rPr>
          <w:rFonts w:ascii="Arial" w:hAnsi="Arial" w:cs="Arial"/>
        </w:rPr>
        <w:fldChar w:fldCharType="end"/>
      </w:r>
      <w:r w:rsidR="00354CAF">
        <w:rPr>
          <w:rFonts w:ascii="Arial" w:hAnsi="Arial" w:cs="Arial"/>
        </w:rPr>
        <w:t xml:space="preserve">. </w:t>
      </w:r>
      <w:r w:rsidR="001361BD">
        <w:rPr>
          <w:rFonts w:ascii="Arial" w:hAnsi="Arial" w:cs="Arial"/>
        </w:rPr>
        <w:t xml:space="preserve">Understanding how disease features as well as </w:t>
      </w:r>
      <w:r w:rsidR="00331A57">
        <w:rPr>
          <w:rFonts w:ascii="Arial" w:hAnsi="Arial" w:cs="Arial"/>
        </w:rPr>
        <w:t xml:space="preserve">other </w:t>
      </w:r>
      <w:r w:rsidR="00F91EC0">
        <w:rPr>
          <w:rFonts w:ascii="Arial" w:hAnsi="Arial" w:cs="Arial"/>
        </w:rPr>
        <w:t xml:space="preserve">patient demographic </w:t>
      </w:r>
      <w:r w:rsidR="00331A57">
        <w:rPr>
          <w:rFonts w:ascii="Arial" w:hAnsi="Arial" w:cs="Arial"/>
        </w:rPr>
        <w:t xml:space="preserve">factors such as genetic </w:t>
      </w:r>
      <w:r w:rsidR="00867501">
        <w:rPr>
          <w:rFonts w:ascii="Arial" w:hAnsi="Arial" w:cs="Arial"/>
        </w:rPr>
        <w:t>mutations</w:t>
      </w:r>
      <w:r w:rsidR="00331A57">
        <w:rPr>
          <w:rFonts w:ascii="Arial" w:hAnsi="Arial" w:cs="Arial"/>
        </w:rPr>
        <w:t xml:space="preserve"> </w:t>
      </w:r>
      <w:r w:rsidR="008601FD">
        <w:rPr>
          <w:rFonts w:ascii="Arial" w:hAnsi="Arial" w:cs="Arial"/>
        </w:rPr>
        <w:t xml:space="preserve">influence patient response and survival </w:t>
      </w:r>
      <w:r w:rsidR="00492B4C">
        <w:rPr>
          <w:rFonts w:ascii="Arial" w:hAnsi="Arial" w:cs="Arial"/>
        </w:rPr>
        <w:t xml:space="preserve">is important </w:t>
      </w:r>
      <w:r w:rsidR="00CD1BBC">
        <w:rPr>
          <w:rFonts w:ascii="Arial" w:hAnsi="Arial" w:cs="Arial"/>
        </w:rPr>
        <w:t>for deriving a causal E-R relationship and for dose optimization</w:t>
      </w:r>
      <w:r w:rsidR="00867501">
        <w:rPr>
          <w:rFonts w:ascii="Arial" w:hAnsi="Arial" w:cs="Arial"/>
        </w:rPr>
        <w:t xml:space="preserve">. </w:t>
      </w:r>
      <w:r w:rsidR="00AB772C">
        <w:rPr>
          <w:rFonts w:ascii="Arial" w:hAnsi="Arial" w:cs="Arial"/>
        </w:rPr>
        <w:t>H</w:t>
      </w:r>
      <w:r w:rsidR="00AB772C" w:rsidRPr="00E16BDA">
        <w:rPr>
          <w:rFonts w:ascii="Arial" w:hAnsi="Arial" w:cs="Arial"/>
        </w:rPr>
        <w:t xml:space="preserve">eterogeneous </w:t>
      </w:r>
      <w:r w:rsidR="00AB772C">
        <w:rPr>
          <w:rFonts w:ascii="Arial" w:hAnsi="Arial" w:cs="Arial"/>
        </w:rPr>
        <w:t>t</w:t>
      </w:r>
      <w:r w:rsidR="00AB772C" w:rsidRPr="00E16BDA">
        <w:rPr>
          <w:rFonts w:ascii="Arial" w:hAnsi="Arial" w:cs="Arial"/>
        </w:rPr>
        <w:t xml:space="preserve">reatment </w:t>
      </w:r>
      <w:r w:rsidR="00AB772C">
        <w:rPr>
          <w:rFonts w:ascii="Arial" w:hAnsi="Arial" w:cs="Arial"/>
        </w:rPr>
        <w:t>e</w:t>
      </w:r>
      <w:r w:rsidR="00AB772C" w:rsidRPr="00E16BDA">
        <w:rPr>
          <w:rFonts w:ascii="Arial" w:hAnsi="Arial" w:cs="Arial"/>
        </w:rPr>
        <w:t>ffect</w:t>
      </w:r>
      <w:r w:rsidR="00AB772C">
        <w:rPr>
          <w:rFonts w:ascii="Arial" w:hAnsi="Arial" w:cs="Arial"/>
        </w:rPr>
        <w:t>s</w:t>
      </w:r>
      <w:r w:rsidR="00AB772C" w:rsidRPr="00E16BDA">
        <w:rPr>
          <w:rFonts w:ascii="Arial" w:hAnsi="Arial" w:cs="Arial"/>
        </w:rPr>
        <w:t xml:space="preserve"> (HTE) </w:t>
      </w:r>
      <w:r w:rsidR="00AB772C">
        <w:rPr>
          <w:rFonts w:ascii="Arial" w:hAnsi="Arial" w:cs="Arial"/>
        </w:rPr>
        <w:t xml:space="preserve">analyses can help identify critical confounding factors and elucidate causal </w:t>
      </w:r>
      <w:r w:rsidR="00195216">
        <w:rPr>
          <w:rFonts w:ascii="Arial" w:hAnsi="Arial" w:cs="Arial"/>
        </w:rPr>
        <w:t>E</w:t>
      </w:r>
      <w:r w:rsidR="00AB772C">
        <w:rPr>
          <w:rFonts w:ascii="Arial" w:hAnsi="Arial" w:cs="Arial"/>
        </w:rPr>
        <w:t xml:space="preserve">-R relationships. Using </w:t>
      </w:r>
      <w:r w:rsidR="003E1772">
        <w:rPr>
          <w:rFonts w:ascii="Arial" w:hAnsi="Arial" w:cs="Arial"/>
        </w:rPr>
        <w:t>ibrutinib</w:t>
      </w:r>
      <w:r w:rsidR="00AB772C">
        <w:rPr>
          <w:rFonts w:ascii="Arial" w:hAnsi="Arial" w:cs="Arial"/>
        </w:rPr>
        <w:t xml:space="preserve"> as an example</w:t>
      </w:r>
      <w:r w:rsidR="00AB772C" w:rsidRPr="00E16BDA">
        <w:rPr>
          <w:rFonts w:ascii="Arial" w:hAnsi="Arial" w:cs="Arial"/>
        </w:rPr>
        <w:t xml:space="preserve">, </w:t>
      </w:r>
      <w:r w:rsidR="00AB772C">
        <w:rPr>
          <w:rFonts w:ascii="Arial" w:hAnsi="Arial" w:cs="Arial"/>
        </w:rPr>
        <w:t>this study aims at elucidating</w:t>
      </w:r>
      <w:r w:rsidR="00AB772C" w:rsidRPr="00E16BDA">
        <w:rPr>
          <w:rFonts w:ascii="Arial" w:hAnsi="Arial" w:cs="Arial"/>
        </w:rPr>
        <w:t xml:space="preserve"> how </w:t>
      </w:r>
      <w:r w:rsidR="00AB772C">
        <w:rPr>
          <w:rFonts w:ascii="Arial" w:hAnsi="Arial" w:cs="Arial"/>
        </w:rPr>
        <w:t xml:space="preserve">the </w:t>
      </w:r>
      <w:r w:rsidR="00623974">
        <w:rPr>
          <w:rFonts w:ascii="Arial" w:hAnsi="Arial" w:cs="Arial"/>
        </w:rPr>
        <w:t>E</w:t>
      </w:r>
      <w:r w:rsidR="00AB772C">
        <w:rPr>
          <w:rFonts w:ascii="Arial" w:hAnsi="Arial" w:cs="Arial"/>
        </w:rPr>
        <w:t xml:space="preserve">-R relationships are shaped by </w:t>
      </w:r>
      <w:r w:rsidR="00AB772C" w:rsidRPr="00E16BDA">
        <w:rPr>
          <w:rFonts w:ascii="Arial" w:hAnsi="Arial" w:cs="Arial"/>
        </w:rPr>
        <w:t xml:space="preserve">different </w:t>
      </w:r>
      <w:r w:rsidR="00AB772C">
        <w:rPr>
          <w:rFonts w:ascii="Arial" w:hAnsi="Arial" w:cs="Arial"/>
        </w:rPr>
        <w:t xml:space="preserve">prognosis or risk levels and </w:t>
      </w:r>
      <w:r w:rsidR="00F91EC0">
        <w:rPr>
          <w:rFonts w:ascii="Arial" w:hAnsi="Arial" w:cs="Arial"/>
        </w:rPr>
        <w:t xml:space="preserve">how the </w:t>
      </w:r>
      <w:r w:rsidR="00AB772C">
        <w:rPr>
          <w:rFonts w:ascii="Arial" w:hAnsi="Arial" w:cs="Arial"/>
        </w:rPr>
        <w:t>deriv</w:t>
      </w:r>
      <w:r w:rsidR="00F91EC0">
        <w:rPr>
          <w:rFonts w:ascii="Arial" w:hAnsi="Arial" w:cs="Arial"/>
        </w:rPr>
        <w:t>ed</w:t>
      </w:r>
      <w:r w:rsidR="00AB772C">
        <w:rPr>
          <w:rFonts w:ascii="Arial" w:hAnsi="Arial" w:cs="Arial"/>
        </w:rPr>
        <w:t xml:space="preserve"> causal </w:t>
      </w:r>
      <w:r w:rsidR="00C01971">
        <w:rPr>
          <w:rFonts w:ascii="Arial" w:hAnsi="Arial" w:cs="Arial"/>
        </w:rPr>
        <w:t>E</w:t>
      </w:r>
      <w:r w:rsidR="00AB772C">
        <w:rPr>
          <w:rFonts w:ascii="Arial" w:hAnsi="Arial" w:cs="Arial"/>
        </w:rPr>
        <w:t xml:space="preserve">-R relationships </w:t>
      </w:r>
      <w:r w:rsidR="00F91EC0">
        <w:rPr>
          <w:rFonts w:ascii="Arial" w:hAnsi="Arial" w:cs="Arial"/>
        </w:rPr>
        <w:t xml:space="preserve">better </w:t>
      </w:r>
      <w:r w:rsidR="00AB772C">
        <w:rPr>
          <w:rFonts w:ascii="Arial" w:hAnsi="Arial" w:cs="Arial"/>
        </w:rPr>
        <w:t xml:space="preserve">support of dose optimization based on </w:t>
      </w:r>
      <w:r w:rsidR="00AB772C" w:rsidRPr="00E16BDA">
        <w:rPr>
          <w:rFonts w:ascii="Arial" w:hAnsi="Arial" w:cs="Arial"/>
        </w:rPr>
        <w:t xml:space="preserve">individual </w:t>
      </w:r>
      <w:r w:rsidR="00AB772C">
        <w:rPr>
          <w:rFonts w:ascii="Arial" w:hAnsi="Arial" w:cs="Arial"/>
        </w:rPr>
        <w:t>outcomes</w:t>
      </w:r>
      <w:r w:rsidR="00AB772C" w:rsidRPr="00E16BDA">
        <w:rPr>
          <w:rFonts w:ascii="Arial" w:hAnsi="Arial" w:cs="Arial"/>
        </w:rPr>
        <w:t>.</w:t>
      </w:r>
    </w:p>
    <w:p w14:paraId="2DD04E93" w14:textId="77777777" w:rsidR="00AB772C" w:rsidRPr="00037419" w:rsidRDefault="00AB772C" w:rsidP="00AB772C">
      <w:pPr>
        <w:rPr>
          <w:rFonts w:ascii="Arial" w:hAnsi="Arial" w:cs="Arial"/>
        </w:rPr>
      </w:pPr>
    </w:p>
    <w:p w14:paraId="2B632004" w14:textId="77777777" w:rsidR="00AB772C" w:rsidRPr="00770CB5" w:rsidRDefault="00AB772C" w:rsidP="00AB772C">
      <w:pPr>
        <w:rPr>
          <w:rFonts w:ascii="Arial" w:hAnsi="Arial" w:cs="Arial"/>
          <w:b/>
          <w:bCs/>
        </w:rPr>
      </w:pPr>
      <w:r w:rsidRPr="00770CB5">
        <w:rPr>
          <w:rFonts w:ascii="Arial" w:hAnsi="Arial" w:cs="Arial"/>
          <w:b/>
          <w:bCs/>
        </w:rPr>
        <w:t>Specific Aims of the Project</w:t>
      </w:r>
    </w:p>
    <w:p w14:paraId="14CFFF4A" w14:textId="321E349E" w:rsidR="00AB772C" w:rsidRPr="005A274B" w:rsidRDefault="00AB772C" w:rsidP="00AB772C">
      <w:pPr>
        <w:rPr>
          <w:rFonts w:ascii="Arial" w:hAnsi="Arial" w:cs="Arial"/>
        </w:rPr>
      </w:pPr>
      <w:r w:rsidRPr="005A274B">
        <w:rPr>
          <w:rFonts w:ascii="Arial" w:hAnsi="Arial" w:cs="Arial"/>
        </w:rPr>
        <w:t xml:space="preserve">This </w:t>
      </w:r>
      <w:r>
        <w:rPr>
          <w:rFonts w:ascii="Arial" w:hAnsi="Arial" w:cs="Arial"/>
        </w:rPr>
        <w:t>study</w:t>
      </w:r>
      <w:r w:rsidRPr="005A274B">
        <w:rPr>
          <w:rFonts w:ascii="Arial" w:hAnsi="Arial" w:cs="Arial"/>
        </w:rPr>
        <w:t xml:space="preserve"> aims to analyze clinical trial data to identify </w:t>
      </w:r>
      <w:r>
        <w:rPr>
          <w:rFonts w:ascii="Arial" w:hAnsi="Arial" w:cs="Arial"/>
        </w:rPr>
        <w:t xml:space="preserve">critical </w:t>
      </w:r>
      <w:r w:rsidRPr="005A274B">
        <w:rPr>
          <w:rFonts w:ascii="Arial" w:hAnsi="Arial" w:cs="Arial"/>
        </w:rPr>
        <w:t xml:space="preserve">prognostic and predictive factors </w:t>
      </w:r>
      <w:r>
        <w:rPr>
          <w:rFonts w:ascii="Arial" w:hAnsi="Arial" w:cs="Arial"/>
        </w:rPr>
        <w:t xml:space="preserve">and derive causal </w:t>
      </w:r>
      <w:r w:rsidR="00DC7F34">
        <w:rPr>
          <w:rFonts w:ascii="Arial" w:hAnsi="Arial" w:cs="Arial"/>
        </w:rPr>
        <w:t>E</w:t>
      </w:r>
      <w:r>
        <w:rPr>
          <w:rFonts w:ascii="Arial" w:hAnsi="Arial" w:cs="Arial"/>
        </w:rPr>
        <w:t>-R relationship</w:t>
      </w:r>
      <w:r w:rsidR="00F91EC0">
        <w:rPr>
          <w:rFonts w:ascii="Arial" w:hAnsi="Arial" w:cs="Arial"/>
        </w:rPr>
        <w:t>s</w:t>
      </w:r>
      <w:r>
        <w:rPr>
          <w:rFonts w:ascii="Arial" w:hAnsi="Arial" w:cs="Arial"/>
        </w:rPr>
        <w:t xml:space="preserve"> of </w:t>
      </w:r>
      <w:r w:rsidR="00DC7F34">
        <w:rPr>
          <w:rFonts w:ascii="Arial" w:hAnsi="Arial" w:cs="Arial"/>
        </w:rPr>
        <w:t>ibrutinib</w:t>
      </w:r>
      <w:r>
        <w:rPr>
          <w:rFonts w:ascii="Arial" w:hAnsi="Arial" w:cs="Arial"/>
        </w:rPr>
        <w:t xml:space="preserve"> in treatment of </w:t>
      </w:r>
      <w:r w:rsidR="00701B77">
        <w:rPr>
          <w:rFonts w:ascii="Arial" w:hAnsi="Arial" w:cs="Arial"/>
        </w:rPr>
        <w:t>three NHLs: CLL, SLL, and WM</w:t>
      </w:r>
      <w:r w:rsidRPr="005A274B">
        <w:rPr>
          <w:rFonts w:ascii="Arial" w:hAnsi="Arial" w:cs="Arial"/>
        </w:rPr>
        <w:t>. Th</w:t>
      </w:r>
      <w:r>
        <w:rPr>
          <w:rFonts w:ascii="Arial" w:hAnsi="Arial" w:cs="Arial"/>
        </w:rPr>
        <w:t>is</w:t>
      </w:r>
      <w:r w:rsidRPr="005A274B">
        <w:rPr>
          <w:rFonts w:ascii="Arial" w:hAnsi="Arial" w:cs="Arial"/>
        </w:rPr>
        <w:t xml:space="preserve"> study is </w:t>
      </w:r>
      <w:r>
        <w:rPr>
          <w:rFonts w:ascii="Arial" w:hAnsi="Arial" w:cs="Arial"/>
        </w:rPr>
        <w:t>proposed with</w:t>
      </w:r>
      <w:r w:rsidRPr="005A274B">
        <w:rPr>
          <w:rFonts w:ascii="Arial" w:hAnsi="Arial" w:cs="Arial"/>
        </w:rPr>
        <w:t xml:space="preserve"> two specific aims:</w:t>
      </w:r>
    </w:p>
    <w:p w14:paraId="0A817874" w14:textId="3F9C65FF" w:rsidR="00AB772C" w:rsidRPr="005A274B" w:rsidRDefault="00AB772C" w:rsidP="004E0E80">
      <w:pPr>
        <w:ind w:firstLine="720"/>
        <w:rPr>
          <w:rFonts w:ascii="Arial" w:hAnsi="Arial" w:cs="Arial"/>
        </w:rPr>
      </w:pPr>
      <w:r w:rsidRPr="005A274B">
        <w:rPr>
          <w:rFonts w:ascii="Arial" w:hAnsi="Arial" w:cs="Arial"/>
        </w:rPr>
        <w:t xml:space="preserve">Aim 1: </w:t>
      </w:r>
      <w:r>
        <w:rPr>
          <w:rFonts w:ascii="Arial" w:hAnsi="Arial" w:cs="Arial"/>
        </w:rPr>
        <w:t>To i</w:t>
      </w:r>
      <w:r w:rsidRPr="005A274B">
        <w:rPr>
          <w:rFonts w:ascii="Arial" w:hAnsi="Arial" w:cs="Arial"/>
        </w:rPr>
        <w:t xml:space="preserve">dentify </w:t>
      </w:r>
      <w:r>
        <w:rPr>
          <w:rFonts w:ascii="Arial" w:hAnsi="Arial" w:cs="Arial"/>
        </w:rPr>
        <w:t xml:space="preserve">critical </w:t>
      </w:r>
      <w:r w:rsidRPr="005A274B">
        <w:rPr>
          <w:rFonts w:ascii="Arial" w:hAnsi="Arial" w:cs="Arial"/>
        </w:rPr>
        <w:t xml:space="preserve">prognostic and predictive factors </w:t>
      </w:r>
      <w:r w:rsidR="00F91EC0">
        <w:rPr>
          <w:rFonts w:ascii="Arial" w:hAnsi="Arial" w:cs="Arial"/>
        </w:rPr>
        <w:t xml:space="preserve">to patient response and clinical outcome </w:t>
      </w:r>
      <w:r>
        <w:rPr>
          <w:rFonts w:ascii="Arial" w:hAnsi="Arial" w:cs="Arial"/>
        </w:rPr>
        <w:t xml:space="preserve">and to quantify their influences on </w:t>
      </w:r>
      <w:r w:rsidR="00E61344">
        <w:rPr>
          <w:rFonts w:ascii="Arial" w:hAnsi="Arial" w:cs="Arial"/>
        </w:rPr>
        <w:t>NHL</w:t>
      </w:r>
      <w:r>
        <w:rPr>
          <w:rFonts w:ascii="Arial" w:hAnsi="Arial" w:cs="Arial"/>
        </w:rPr>
        <w:t xml:space="preserve"> patient response and survival.</w:t>
      </w:r>
    </w:p>
    <w:p w14:paraId="23F6A0F5" w14:textId="4BD560BF" w:rsidR="00AB772C" w:rsidRDefault="00AB772C" w:rsidP="004E0E80">
      <w:pPr>
        <w:ind w:firstLine="720"/>
        <w:rPr>
          <w:rFonts w:ascii="Arial" w:hAnsi="Arial" w:cs="Arial"/>
        </w:rPr>
      </w:pPr>
      <w:r w:rsidRPr="005A274B">
        <w:rPr>
          <w:rFonts w:ascii="Arial" w:hAnsi="Arial" w:cs="Arial"/>
        </w:rPr>
        <w:t xml:space="preserve">Aim 2: </w:t>
      </w:r>
      <w:r>
        <w:rPr>
          <w:rFonts w:ascii="Arial" w:hAnsi="Arial" w:cs="Arial"/>
        </w:rPr>
        <w:t xml:space="preserve">To derive a </w:t>
      </w:r>
      <w:r w:rsidRPr="005A274B">
        <w:rPr>
          <w:rFonts w:ascii="Arial" w:hAnsi="Arial" w:cs="Arial"/>
        </w:rPr>
        <w:t xml:space="preserve">causal </w:t>
      </w:r>
      <w:r w:rsidR="00CB2E86">
        <w:rPr>
          <w:rFonts w:ascii="Arial" w:hAnsi="Arial" w:cs="Arial"/>
        </w:rPr>
        <w:t>E</w:t>
      </w:r>
      <w:r>
        <w:rPr>
          <w:rFonts w:ascii="Arial" w:hAnsi="Arial" w:cs="Arial"/>
        </w:rPr>
        <w:t>-R</w:t>
      </w:r>
      <w:r w:rsidRPr="005A274B">
        <w:rPr>
          <w:rFonts w:ascii="Arial" w:hAnsi="Arial" w:cs="Arial"/>
        </w:rPr>
        <w:t xml:space="preserve"> relationship</w:t>
      </w:r>
      <w:r>
        <w:rPr>
          <w:rFonts w:ascii="Arial" w:hAnsi="Arial" w:cs="Arial"/>
        </w:rPr>
        <w:t xml:space="preserve"> for </w:t>
      </w:r>
      <w:r w:rsidR="00FE780B">
        <w:rPr>
          <w:rFonts w:ascii="Arial" w:hAnsi="Arial" w:cs="Arial"/>
        </w:rPr>
        <w:t>ibrutinib</w:t>
      </w:r>
      <w:r>
        <w:rPr>
          <w:rFonts w:ascii="Arial" w:hAnsi="Arial" w:cs="Arial"/>
        </w:rPr>
        <w:t xml:space="preserve"> in treatment of </w:t>
      </w:r>
      <w:r w:rsidR="00F14CFE">
        <w:rPr>
          <w:rFonts w:ascii="Arial" w:hAnsi="Arial" w:cs="Arial"/>
        </w:rPr>
        <w:t>NHL</w:t>
      </w:r>
      <w:r w:rsidRPr="005A274B">
        <w:rPr>
          <w:rFonts w:ascii="Arial" w:hAnsi="Arial" w:cs="Arial"/>
        </w:rPr>
        <w:t xml:space="preserve"> </w:t>
      </w:r>
      <w:r w:rsidR="00F91EC0">
        <w:rPr>
          <w:rFonts w:ascii="Arial" w:hAnsi="Arial" w:cs="Arial"/>
        </w:rPr>
        <w:t>and demonstrate it as an example for dose optimization at early stage of drug development</w:t>
      </w:r>
      <w:r>
        <w:rPr>
          <w:rFonts w:ascii="Arial" w:hAnsi="Arial" w:cs="Arial"/>
        </w:rPr>
        <w:t xml:space="preserve">. </w:t>
      </w:r>
    </w:p>
    <w:p w14:paraId="47898DED" w14:textId="77777777" w:rsidR="00AB772C" w:rsidRDefault="00AB772C" w:rsidP="00AB772C">
      <w:pPr>
        <w:rPr>
          <w:rFonts w:ascii="Arial" w:hAnsi="Arial" w:cs="Arial"/>
          <w:b/>
          <w:bCs/>
        </w:rPr>
      </w:pPr>
    </w:p>
    <w:p w14:paraId="03169C69" w14:textId="77777777" w:rsidR="00AB772C" w:rsidRDefault="00AB772C" w:rsidP="00AB772C">
      <w:pPr>
        <w:rPr>
          <w:rFonts w:ascii="Arial" w:hAnsi="Arial" w:cs="Arial"/>
          <w:b/>
          <w:bCs/>
        </w:rPr>
      </w:pPr>
      <w:r w:rsidRPr="00DE3738">
        <w:rPr>
          <w:rFonts w:ascii="Arial" w:hAnsi="Arial" w:cs="Arial"/>
          <w:b/>
          <w:bCs/>
        </w:rPr>
        <w:t>Study Design</w:t>
      </w:r>
    </w:p>
    <w:p w14:paraId="157B1D6C" w14:textId="53ED66F0" w:rsidR="00AB772C" w:rsidRDefault="00AB772C" w:rsidP="00AB772C">
      <w:pPr>
        <w:rPr>
          <w:rFonts w:ascii="Arial" w:hAnsi="Arial" w:cs="Arial"/>
        </w:rPr>
      </w:pPr>
      <w:r w:rsidRPr="00B836D0">
        <w:rPr>
          <w:rFonts w:ascii="Arial" w:hAnsi="Arial" w:cs="Arial"/>
        </w:rPr>
        <w:lastRenderedPageBreak/>
        <w:t xml:space="preserve">This study will </w:t>
      </w:r>
      <w:r>
        <w:rPr>
          <w:rFonts w:ascii="Arial" w:hAnsi="Arial" w:cs="Arial"/>
        </w:rPr>
        <w:t xml:space="preserve">assemble the clinical data of </w:t>
      </w:r>
      <w:r w:rsidR="0039142D">
        <w:rPr>
          <w:rFonts w:ascii="Arial" w:hAnsi="Arial" w:cs="Arial"/>
        </w:rPr>
        <w:t>NHL</w:t>
      </w:r>
      <w:r>
        <w:rPr>
          <w:rFonts w:ascii="Arial" w:hAnsi="Arial" w:cs="Arial"/>
        </w:rPr>
        <w:t xml:space="preserve"> patients receiving </w:t>
      </w:r>
      <w:r w:rsidR="00E30269">
        <w:rPr>
          <w:rFonts w:ascii="Arial" w:hAnsi="Arial" w:cs="Arial"/>
        </w:rPr>
        <w:t>ibrutinib</w:t>
      </w:r>
      <w:r>
        <w:rPr>
          <w:rFonts w:ascii="Arial" w:hAnsi="Arial" w:cs="Arial"/>
        </w:rPr>
        <w:t xml:space="preserve"> </w:t>
      </w:r>
      <w:r w:rsidR="00F91EC0">
        <w:rPr>
          <w:rFonts w:ascii="Arial" w:hAnsi="Arial" w:cs="Arial"/>
        </w:rPr>
        <w:t>with combined</w:t>
      </w:r>
      <w:r>
        <w:rPr>
          <w:rFonts w:ascii="Arial" w:hAnsi="Arial" w:cs="Arial"/>
        </w:rPr>
        <w:t xml:space="preserve"> agents. HTE analyses will be performed to identify potential prognostic and predictive factors that influence </w:t>
      </w:r>
      <w:r w:rsidR="00794AD3">
        <w:rPr>
          <w:rFonts w:ascii="Arial" w:hAnsi="Arial" w:cs="Arial"/>
        </w:rPr>
        <w:t>NHL</w:t>
      </w:r>
      <w:r>
        <w:rPr>
          <w:rFonts w:ascii="Arial" w:hAnsi="Arial" w:cs="Arial"/>
        </w:rPr>
        <w:t xml:space="preserve"> patient response and survival</w:t>
      </w:r>
      <w:r w:rsidRPr="00B836D0">
        <w:rPr>
          <w:rFonts w:ascii="Arial" w:hAnsi="Arial" w:cs="Arial"/>
        </w:rPr>
        <w:t xml:space="preserve">. </w:t>
      </w:r>
      <w:r>
        <w:rPr>
          <w:rFonts w:ascii="Arial" w:hAnsi="Arial" w:cs="Arial"/>
        </w:rPr>
        <w:t>Several strategies, including conventional subgroup HTE approach, risk-based HTE approach, and effect-based HTE approach</w:t>
      </w:r>
      <w:r>
        <w:rPr>
          <w:rFonts w:ascii="Arial" w:hAnsi="Arial" w:cs="Arial"/>
        </w:rPr>
        <w:fldChar w:fldCharType="begin"/>
      </w:r>
      <w:r w:rsidR="00BB7553">
        <w:rPr>
          <w:rFonts w:ascii="Arial" w:hAnsi="Arial" w:cs="Arial"/>
        </w:rPr>
        <w:instrText xml:space="preserve"> ADDIN ZOTERO_ITEM CSL_CITATION {"citationID":"L1RzkG7K","properties":{"formattedCitation":"\\super 3\\nosupersub{}","plainCitation":"3","noteIndex":0},"citationItems":[{"id":5580,"uris":["http://zotero.org/users/9693191/items/CGY32SC3"],"itemData":{"id":5580,"type":"article-journal","abstract":"OBJECTIVE To evaluate HTE of therapeutic-dose heparin for patients hospitalized for COVID-19 and to compare approaches to assessing HTE. DESIGN, SETTING, AND PARTICIPANTS Exploratory analysis of a multiplatform adaptive RCT of therapeutic-dose heparin vs usual care pharmacologic thromboprophylaxis in 3320 patients hospitalized for COVID-19 enrolled in North America, South America, Europe, Asia, and Australia between April 2020 and January 2021. Heterogeneity of treatment effect was assessed 3 ways: using (1) conventional subgroup analyses of baseline characteristics, (2) a multivariable outcome prediction model (risk-based approach), and (3) a multivariable causal forest model (effect-based approach). Analyses primarily used bayesian statistics, consistent with the original trial. EXPOSURES Participants were randomized to therapeutic-dose heparin or usual care pharmacologic thromboprophylaxis. MAIN OUTCOMES AND MEASURES Organ support–free days, assigning a value of −1 to those who died in the hospital and the number of days free of cardiovascular or respiratory organ support up to day 21 for those who survived to hospital discharge; and hospital survival.\nRESULTS Baseline demographic characteristics were similar between patients randomized to therapeutic-dose heparin or usual care (median age, 60 years; 38% female; 32% known non-White race; 45% Hispanic). In the overall multiplatform RCT population, therapeutic-dose heparin was not associated with an increase in organ support–free days (median value for the posterior distribution of the OR, 1.05; 95% credible interval, 0.91-1.22). In conventional subgroup analyses, the effect of therapeutic-dose heparin on organ support–free days differed between patients requiring organ support at baseline or not (median OR, 0.85 vs 1.30; posterior probability of difference in OR, 99.8%), between females and males (median OR, 0.87 vs 1.16; posterior probability of difference in OR, 96.4%), and between patients with lower body mass index (BMI &lt;30) vs higher BMI groups (BMI Ն30; posterior probability of difference in ORs &gt;90% for all comparisons). In risk-based analysis, patients at lowest risk of poor outcome had the highest propensity for benefit from heparin (lowest risk decile: posterior probability of OR &gt;1, 92%) while those at highest risk were most likely to be harmed (highest risk decile: posterior probability of OR &lt;1, 87%). In effect-based analysis, a subset of patients identified at high risk of harm (P = .05 for difference in treatment effect) tended to have high BMI and were more likely to require organ support at baseline.\nCONCLUSIONS AND RELEVANCE Among patients hospitalized for COVID-19, the effect of therapeutic-dose heparin was heterogeneous. In all 3 approaches to assessing HTE, heparin was more likely to be beneficial in those who were less severely ill at presentation or had lower BMI and more likely to be harmful in sicker patients and those with higher BMI. The findings illustrate the importance of considering HTE in the design and analysis of RCTs.","container-title":"JAMA","DOI":"10.1001/jama.2023.3651","ISSN":"0098-7484","issue":"13","journalAbbreviation":"JAMA","language":"en","page":"1066","source":"DOI.org (Crossref)","title":"Heterogeneous Treatment Effects of Therapeutic-Dose Heparin in Patients Hospitalized for COVID-19","volume":"329","author":[{"family":"Goligher","given":"Ewan C."},{"family":"Lawler","given":"Patrick R."},{"family":"Jensen","given":"Thomas P."},{"family":"Talisa","given":"Victor"},{"family":"Berry","given":"Lindsay R."},{"family":"Lorenzi","given":"Elizabeth"},{"family":"McVerry","given":"Bryan J."},{"family":"Chang","given":"Chung-Chou Ho"},{"family":"Leifer","given":"Eric"},{"family":"Bradbury","given":"Charlotte"},{"family":"Berger","given":"Jeffrey"},{"family":"Hunt","given":"Beverly J."},{"family":"Castellucci","given":"Lana A."},{"family":"Kornblith","given":"Lucy Z."},{"family":"Gordon","given":"Anthony C."},{"family":"McArthur","given":"Colin"},{"family":"Webb","given":"Steven"},{"family":"Hochman","given":"Judith"},{"family":"Neal","given":"Matthew D."},{"family":"Zarychanski","given":"Ryan"},{"family":"Berry","given":"Scott"},{"family":"Angus","given":"Derek C."},{"literal":"REMAP-CAP, ATTACC, and ACTIV-4a Investigators"},{"family":"Aday","given":"Aaron"},{"family":"Ahuja","given":"Tania"},{"family":"Al-Beidh","given":"Farah"},{"family":"Angus","given":"Derek C."},{"family":"Annane","given":"Djillali"},{"family":"Arabi","given":"Yaseen M."},{"family":"Aryal","given":"Diptesh"},{"family":"Baumann Kreuziger","given":"Lisa"},{"family":"Beane","given":"Abigail"},{"family":"Berger","given":"Jeffrey S."},{"family":"Berry","given":"Scott M."},{"family":"Berry","given":"Lindsay R."},{"family":"Bhimani","given":"Zahra"},{"family":"Bihari","given":"Shailesh"},{"family":"Billett","given":"Henny H."},{"family":"Bond","given":"Lindsay"},{"family":"Bonten","given":"Marc"},{"family":"Bradbury","given":"Charlotte Ann"},{"family":"Brooks","given":"Maria M."},{"family":"Brunkhorst","given":"Frank"},{"family":"Buxton","given":"Meredith"},{"family":"Buzgau","given":"Adrian"},{"family":"Carrier","given":"Marc"},{"family":"Castelucci","given":"Lana A."},{"family":"Chekuri","given":"Sweta"},{"family":"Chen","given":"Jen-Ting"},{"family":"Cheng","given":"Allen C."},{"family":"Chkhikvadze","given":"Tamta"},{"family":"Coiffard","given":"Benjamin"},{"family":"Contreras","given":"Aira"},{"family":"Costantini","given":"Todd W."},{"family":"Cushman","given":"Mary"},{"family":"De Brouwer","given":"Sophie"},{"family":"Derde","given":"Lennie P.G."},{"family":"Detry","given":"Michelle A."},{"family":"Duggal","given":"Abhijit"},{"family":"Džavík","given":"Vladimir"},{"family":"Effron","given":"Mark B."},{"family":"Eng","given":"Heather F."},{"family":"Escobedo","given":"Jorge"},{"family":"Estcourt","given":"Lise J."},{"family":"Everett","given":"Brendan M."},{"family":"Farkough","given":"Micheal E."},{"family":"Fergusson","given":"Dean A."},{"family":"Fitzgerald","given":"Mark"},{"family":"Fowler","given":"Rob A."},{"family":"Froess","given":"Joshua D."},{"family":"Fu","given":"Zhuxuan"},{"family":"Galanaud","given":"Jean-Philippe"},{"family":"Galen","given":"Benjamin T."},{"family":"Gandotra","given":"Sheetal"},{"family":"Girard","given":"Timothy D."},{"family":"Godoy","given":"Lucus D."},{"family":"Goligher","given":"Ewan C."},{"family":"Gong","given":"Michelle Ng"},{"family":"Goodman","given":"Andrew L."},{"family":"Goossens","given":"Herman"},{"family":"Gordon","given":"Anthony C."},{"family":"Green","given":"Cameron"},{"family":"Greenstein","given":"Yonatan Y."},{"family":"Gross","given":"Peter L."},{"family":"Guerrero","given":"Raquel Morillo"},{"family":"Hamburg","given":"Naomi"},{"family":"Haniffa","given":"Rashan"},{"family":"Hanna","given":"George"},{"family":"Hanna","given":"Nicholas"},{"family":"Hedge","given":"Sheila M."},{"family":"Hendrickson","given":"Carolyn M."},{"family":"Higgins","given":"Alisa M."},{"family":"Hindenburg","given":"Alexander A."},{"family":"Hite","given":"Robert Duncan"},{"family":"Hochman","given":"Judith S."},{"family":"Hope","given":"Aluko A."},{"family":"Horowitz","given":"James M."},{"family":"Horvat","given":"Christopher M."},{"family":"Houston","given":"Brett  L."},{"family":"Huang","given":"David T."},{"family":"Hudock","given":"Kristin"},{"family":"Hunt","given":"Beverley J."},{"family":"Husain","given":"Mansoor"},{"family":"Hyzy","given":"Robert C."},{"family":"Iyer","given":"Vivek"},{"family":"Jacobson","given":"Jeff R."},{"family":"Jayakumar","given":"Devachandran"},{"family":"Kahn","given":"Susan R."},{"family":"Keller","given":"Norma M."},{"family":"Khan","given":"Akram"},{"family":"Kim","given":"Yuri"},{"family":"Kim","given":"Keri S."},{"family":"Kindzelski","given":"Andrei"},{"family":"King","given":"Andrew J."},{"family":"Kirwan","given":"Bridget-Anne"},{"family":"Knudson","given":"M. Margaret"},{"family":"Kornblith","given":"Lucy Z."},{"family":"Kornblith","given":"Aaron E."},{"family":"Krishnan","given":"Vidya"},{"family":"Kumar","given":"Anand"},{"family":"Kutcher","given":"Matthew E."},{"family":"Laffan","given":"Michael A."},{"family":"Lamontagne","given":"Francois"},{"family":"Lawler","given":"Patrick R."},{"family":"Le Gal","given":"Gregoire"},{"family":"Leeper","given":"Christine M."},{"family":"Leifer","given":"Eric S."},{"family":"Lewis","given":"Roger J."},{"family":"Lim","given":"George"},{"family":"Lima","given":"Felipe Gallego"},{"family":"Linstrum","given":"Kelsey"},{"family":"Litton","given":"Edward"},{"family":"Lopez-Sendon","given":"Jose"},{"family":"Lopez-Sendon Moreno","given":"Jose Luis"},{"family":"Lorenzi","given":"Elizabeth"},{"family":"Lother","given":"Sylvain A."},{"family":"Madrona","given":"Sebastian García"},{"family":"Malhotra","given":"Saurabh"},{"family":"Marcos Martin","given":"Miguel"},{"family":"Marshall","given":"John C."},{"family":"Marten","given":"Nicole"},{"family":"Martinez","given":"Andrea Saud"},{"family":"Martinez","given":"Mary"},{"family":"Mateos Garcia","given":"Eduardo"},{"family":"Matthay","given":"Michael A."},{"family":"Mavromichalis","given":"Stephanie"},{"family":"McArthur","given":"Colin J."},{"family":"McAuley","given":"Daniel F."},{"family":"McDonald","given":"Emily G."},{"family":"McGlothlin","given":"Anna"},{"family":"McGuinness","given":"Shay P."},{"family":"McQuilten","given":"Zoe K."},{"family":"McVerry","given":"Bryan J."},{"family":"Middeldorp","given":"Saskia"},{"family":"Montgomery","given":"Stephanie K."},{"family":"Moore","given":"Steven C."},{"family":"Mouncey","given":"Paul R."},{"family":"Murthy","given":"Srinivas"},{"family":"Nair","given":"Girish B."},{"family":"Nair","given":"Rahul"},{"family":"Neal","given":"Matthew D."},{"family":"Nichol","given":"Alistair D."},{"family":"Nicolau","given":"Jose C."},{"family":"Nunez-Garcia","given":"Brenda"},{"family":"Pandey","given":"Ambarish"},{"family":"Park","given":"John J."},{"family":"Park","given":"Pauline K."},{"family":"Parke","given":"Rachael L."},{"family":"Parker","given":"Jane C."},{"family":"Parnia","given":"Sam"},{"family":"Paul","given":"Jonathan D."},{"family":"Pompilio","given":"Mauricio"},{"family":"Prekker","given":"Matt"},{"family":"Quigley","given":"John G."},{"family":"Reynolds","given":"Harmony R."},{"family":"Rosenson","given":"Robert S."},{"family":"Rost","given":"Natalia S."},{"family":"Rowan","given":"Kathryn"},{"family":"Santos","given":"Mayler Olombrada"},{"family":"Santos","given":"Fernanda O."},{"family":"Santos","given":"Marlene"},{"family":"Satterwhite","given":"Lewis"},{"family":"Saunders","given":"Christina T."},{"family":"Schreiber","given":"Jake"},{"family":"Schutgens","given":"Roger E.G."},{"family":"Seymour","given":"Christopher W."},{"family":"Shankar Hari","given":"Manu"},{"family":"Sheehan","given":"John P."},{"family":"Siegal","given":"Deborah M."},{"family":"Silva Jr.","given":"Delcio Goncalves"},{"family":"Singhal","given":"Aneesh B."},{"family":"Slutsky","given":"Arthur S."},{"family":"Solvason","given":"Dayna"},{"family":"Stanworth","given":"Simon J."},{"family":"Tritschler","given":"Tobias"},{"family":"Turgeon","given":"Alexis F."},{"family":"Turner","given":"Anne M."},{"family":"Van Bentum-Puijk","given":"Wilma"},{"family":"Van De Veerdonk","given":"Frank L."},{"family":"Van Diepen","given":"Sean"},{"family":"Vazquez Grande","given":"Gloria"},{"family":"Wahid","given":"Lana"},{"family":"Wareham","given":"Vanessa"},{"family":"Webb","given":"Steve A."},{"family":"Wells","given":"Bryan"},{"family":"Widmer","given":"R. Jay"},{"family":"Wilson","given":"Jennifer G."},{"family":"Yuriditsky","given":"Eugene"},{"family":"Zampieri","given":"Fernando"},{"family":"Zarychanski","given":"Ryan"},{"family":"Zhong","given":"Yongqi"}],"issued":{"date-parts":[["2023",4,4]]},"citation-key":"goligherHeterogeneousTreatmentEffects2023"}}],"schema":"https://github.com/citation-style-language/schema/raw/master/csl-citation.json"} </w:instrText>
      </w:r>
      <w:r>
        <w:rPr>
          <w:rFonts w:ascii="Arial" w:hAnsi="Arial" w:cs="Arial"/>
        </w:rPr>
        <w:fldChar w:fldCharType="separate"/>
      </w:r>
      <w:r w:rsidR="00BB7553" w:rsidRPr="00BB7553">
        <w:rPr>
          <w:rFonts w:ascii="Arial" w:hAnsi="Arial" w:cs="Arial"/>
          <w:kern w:val="0"/>
          <w:szCs w:val="24"/>
          <w:vertAlign w:val="superscript"/>
        </w:rPr>
        <w:t>3</w:t>
      </w:r>
      <w:r>
        <w:rPr>
          <w:rFonts w:ascii="Arial" w:hAnsi="Arial" w:cs="Arial"/>
        </w:rPr>
        <w:fldChar w:fldCharType="end"/>
      </w:r>
      <w:r>
        <w:rPr>
          <w:rFonts w:ascii="Arial" w:hAnsi="Arial" w:cs="Arial"/>
        </w:rPr>
        <w:t xml:space="preserve">, will be employed to subgroup patients and evaluate treatment effects. The </w:t>
      </w:r>
      <w:r w:rsidR="002053FA">
        <w:rPr>
          <w:rFonts w:ascii="Arial" w:hAnsi="Arial" w:cs="Arial"/>
        </w:rPr>
        <w:t>E</w:t>
      </w:r>
      <w:r>
        <w:rPr>
          <w:rFonts w:ascii="Arial" w:hAnsi="Arial" w:cs="Arial"/>
        </w:rPr>
        <w:t xml:space="preserve">-R relationship of </w:t>
      </w:r>
      <w:r w:rsidR="009210D4">
        <w:rPr>
          <w:rFonts w:ascii="Arial" w:hAnsi="Arial" w:cs="Arial"/>
        </w:rPr>
        <w:t>ibrutinib</w:t>
      </w:r>
      <w:r>
        <w:rPr>
          <w:rFonts w:ascii="Arial" w:hAnsi="Arial" w:cs="Arial"/>
        </w:rPr>
        <w:t xml:space="preserve"> will be analyzed within subgroups. </w:t>
      </w:r>
    </w:p>
    <w:p w14:paraId="2F247155" w14:textId="6E1CFA5C" w:rsidR="00AB772C" w:rsidRDefault="00AB772C" w:rsidP="004E0E80">
      <w:pPr>
        <w:ind w:firstLine="720"/>
        <w:rPr>
          <w:rFonts w:ascii="Arial" w:hAnsi="Arial" w:cs="Arial"/>
        </w:rPr>
      </w:pPr>
      <w:r w:rsidRPr="00B836D0">
        <w:rPr>
          <w:rFonts w:ascii="Arial" w:hAnsi="Arial" w:cs="Arial"/>
        </w:rPr>
        <w:t>The dataset</w:t>
      </w:r>
      <w:r>
        <w:rPr>
          <w:rFonts w:ascii="Arial" w:hAnsi="Arial" w:cs="Arial"/>
        </w:rPr>
        <w:t>s</w:t>
      </w:r>
      <w:r w:rsidRPr="00B836D0">
        <w:rPr>
          <w:rFonts w:ascii="Arial" w:hAnsi="Arial" w:cs="Arial"/>
        </w:rPr>
        <w:t xml:space="preserve"> </w:t>
      </w:r>
      <w:r>
        <w:rPr>
          <w:rFonts w:ascii="Arial" w:hAnsi="Arial" w:cs="Arial"/>
        </w:rPr>
        <w:t xml:space="preserve">we request are preferably to </w:t>
      </w:r>
      <w:r w:rsidRPr="00B836D0">
        <w:rPr>
          <w:rFonts w:ascii="Arial" w:hAnsi="Arial" w:cs="Arial"/>
        </w:rPr>
        <w:t>include detailed information on</w:t>
      </w:r>
      <w:r>
        <w:rPr>
          <w:rFonts w:ascii="Arial" w:hAnsi="Arial" w:cs="Arial"/>
        </w:rPr>
        <w:t xml:space="preserve"> patient demographic characteristics, disease/treatment history, toxicity profiles, and clinical outcomes. T</w:t>
      </w:r>
      <w:r w:rsidRPr="00B836D0">
        <w:rPr>
          <w:rFonts w:ascii="Arial" w:hAnsi="Arial" w:cs="Arial"/>
        </w:rPr>
        <w:t>he pharmacokinetics</w:t>
      </w:r>
      <w:r>
        <w:rPr>
          <w:rFonts w:ascii="Arial" w:hAnsi="Arial" w:cs="Arial"/>
        </w:rPr>
        <w:t xml:space="preserve"> data</w:t>
      </w:r>
      <w:r w:rsidRPr="00B836D0">
        <w:rPr>
          <w:rFonts w:ascii="Arial" w:hAnsi="Arial" w:cs="Arial"/>
        </w:rPr>
        <w:t xml:space="preserve"> of </w:t>
      </w:r>
      <w:r w:rsidR="009A41C3">
        <w:rPr>
          <w:rFonts w:ascii="Arial" w:hAnsi="Arial" w:cs="Arial"/>
        </w:rPr>
        <w:t>ibrutinib</w:t>
      </w:r>
      <w:r>
        <w:rPr>
          <w:rFonts w:ascii="Arial" w:hAnsi="Arial" w:cs="Arial"/>
        </w:rPr>
        <w:t>, if any, are also desirable</w:t>
      </w:r>
      <w:r w:rsidRPr="00B836D0">
        <w:rPr>
          <w:rFonts w:ascii="Arial" w:hAnsi="Arial" w:cs="Arial"/>
        </w:rPr>
        <w:t>.</w:t>
      </w:r>
    </w:p>
    <w:p w14:paraId="241CA418" w14:textId="77777777" w:rsidR="00AB772C" w:rsidRDefault="00AB772C" w:rsidP="00AB772C">
      <w:pPr>
        <w:rPr>
          <w:rFonts w:ascii="Arial" w:hAnsi="Arial" w:cs="Arial"/>
          <w:b/>
          <w:bCs/>
        </w:rPr>
      </w:pPr>
    </w:p>
    <w:p w14:paraId="79CFFADE" w14:textId="77777777" w:rsidR="00AB772C" w:rsidRPr="00517AD1" w:rsidRDefault="00AB772C" w:rsidP="00AB772C">
      <w:pPr>
        <w:rPr>
          <w:rFonts w:ascii="Arial" w:hAnsi="Arial" w:cs="Arial"/>
          <w:b/>
          <w:bCs/>
        </w:rPr>
      </w:pPr>
      <w:r w:rsidRPr="00517AD1">
        <w:rPr>
          <w:rFonts w:ascii="Arial" w:hAnsi="Arial" w:cs="Arial"/>
          <w:b/>
          <w:bCs/>
        </w:rPr>
        <w:t>Purpose of Analysis</w:t>
      </w:r>
    </w:p>
    <w:p w14:paraId="3AD801CC" w14:textId="577B0274" w:rsidR="00AB772C" w:rsidRDefault="00AB772C" w:rsidP="00AB772C">
      <w:pPr>
        <w:rPr>
          <w:rFonts w:ascii="Arial" w:hAnsi="Arial" w:cs="Arial"/>
        </w:rPr>
      </w:pPr>
      <w:r w:rsidRPr="00777B2F">
        <w:rPr>
          <w:rFonts w:ascii="Arial" w:hAnsi="Arial" w:cs="Arial"/>
        </w:rPr>
        <w:t xml:space="preserve">This study seeks to </w:t>
      </w:r>
      <w:r>
        <w:rPr>
          <w:rFonts w:ascii="Arial" w:hAnsi="Arial" w:cs="Arial"/>
        </w:rPr>
        <w:t>i</w:t>
      </w:r>
      <w:r w:rsidRPr="00E21A30">
        <w:rPr>
          <w:rFonts w:ascii="Arial" w:hAnsi="Arial" w:cs="Arial"/>
        </w:rPr>
        <w:t xml:space="preserve">dentify </w:t>
      </w:r>
      <w:r>
        <w:rPr>
          <w:rFonts w:ascii="Arial" w:hAnsi="Arial" w:cs="Arial"/>
        </w:rPr>
        <w:t>critical</w:t>
      </w:r>
      <w:r w:rsidRPr="00E21A30">
        <w:rPr>
          <w:rFonts w:ascii="Arial" w:hAnsi="Arial" w:cs="Arial"/>
        </w:rPr>
        <w:t xml:space="preserve"> prognostic and predictive factors </w:t>
      </w:r>
      <w:r>
        <w:rPr>
          <w:rFonts w:ascii="Arial" w:hAnsi="Arial" w:cs="Arial"/>
        </w:rPr>
        <w:t>affecting</w:t>
      </w:r>
      <w:r w:rsidRPr="00E21A30">
        <w:rPr>
          <w:rFonts w:ascii="Arial" w:hAnsi="Arial" w:cs="Arial"/>
        </w:rPr>
        <w:t xml:space="preserve"> </w:t>
      </w:r>
      <w:r w:rsidR="002332AB">
        <w:rPr>
          <w:rFonts w:ascii="Arial" w:hAnsi="Arial" w:cs="Arial"/>
        </w:rPr>
        <w:t>NHL</w:t>
      </w:r>
      <w:r w:rsidRPr="00E21A30">
        <w:rPr>
          <w:rFonts w:ascii="Arial" w:hAnsi="Arial" w:cs="Arial"/>
        </w:rPr>
        <w:t xml:space="preserve"> patient response and survival outco</w:t>
      </w:r>
      <w:r>
        <w:rPr>
          <w:rFonts w:ascii="Arial" w:hAnsi="Arial" w:cs="Arial"/>
        </w:rPr>
        <w:t xml:space="preserve">mes and </w:t>
      </w:r>
      <w:r w:rsidR="00477EAA">
        <w:rPr>
          <w:rFonts w:ascii="Arial" w:hAnsi="Arial" w:cs="Arial"/>
        </w:rPr>
        <w:t xml:space="preserve">to </w:t>
      </w:r>
      <w:r>
        <w:rPr>
          <w:rFonts w:ascii="Arial" w:hAnsi="Arial" w:cs="Arial"/>
        </w:rPr>
        <w:t xml:space="preserve">derive causal </w:t>
      </w:r>
      <w:r w:rsidR="00B474CD">
        <w:rPr>
          <w:rFonts w:ascii="Arial" w:hAnsi="Arial" w:cs="Arial"/>
        </w:rPr>
        <w:t>E</w:t>
      </w:r>
      <w:r>
        <w:rPr>
          <w:rFonts w:ascii="Arial" w:hAnsi="Arial" w:cs="Arial"/>
        </w:rPr>
        <w:t>-R</w:t>
      </w:r>
      <w:r w:rsidRPr="00777B2F">
        <w:rPr>
          <w:rFonts w:ascii="Arial" w:hAnsi="Arial" w:cs="Arial"/>
        </w:rPr>
        <w:t xml:space="preserve"> relationship</w:t>
      </w:r>
      <w:r>
        <w:rPr>
          <w:rFonts w:ascii="Arial" w:hAnsi="Arial" w:cs="Arial"/>
        </w:rPr>
        <w:t>s</w:t>
      </w:r>
      <w:r w:rsidRPr="00777B2F">
        <w:rPr>
          <w:rFonts w:ascii="Arial" w:hAnsi="Arial" w:cs="Arial"/>
        </w:rPr>
        <w:t xml:space="preserve"> </w:t>
      </w:r>
      <w:r>
        <w:rPr>
          <w:rFonts w:ascii="Arial" w:hAnsi="Arial" w:cs="Arial"/>
        </w:rPr>
        <w:t>of</w:t>
      </w:r>
      <w:r w:rsidRPr="00777B2F">
        <w:rPr>
          <w:rFonts w:ascii="Arial" w:hAnsi="Arial" w:cs="Arial"/>
        </w:rPr>
        <w:t xml:space="preserve"> </w:t>
      </w:r>
      <w:r w:rsidR="00B474CD">
        <w:rPr>
          <w:rFonts w:ascii="Arial" w:hAnsi="Arial" w:cs="Arial"/>
        </w:rPr>
        <w:t>ibrutinib</w:t>
      </w:r>
      <w:r w:rsidRPr="00777B2F">
        <w:rPr>
          <w:rFonts w:ascii="Arial" w:hAnsi="Arial" w:cs="Arial"/>
        </w:rPr>
        <w:t xml:space="preserve"> </w:t>
      </w:r>
      <w:r>
        <w:rPr>
          <w:rFonts w:ascii="Arial" w:hAnsi="Arial" w:cs="Arial"/>
        </w:rPr>
        <w:t>in treatment of</w:t>
      </w:r>
      <w:r w:rsidRPr="00777B2F">
        <w:rPr>
          <w:rFonts w:ascii="Arial" w:hAnsi="Arial" w:cs="Arial"/>
        </w:rPr>
        <w:t xml:space="preserve"> </w:t>
      </w:r>
      <w:r w:rsidR="008960A3">
        <w:rPr>
          <w:rFonts w:ascii="Arial" w:hAnsi="Arial" w:cs="Arial"/>
        </w:rPr>
        <w:t>CLL, SLL or WM</w:t>
      </w:r>
      <w:r w:rsidRPr="00777B2F">
        <w:rPr>
          <w:rFonts w:ascii="Arial" w:hAnsi="Arial" w:cs="Arial"/>
        </w:rPr>
        <w:t xml:space="preserve">. </w:t>
      </w:r>
    </w:p>
    <w:p w14:paraId="0BC9BF5C" w14:textId="77777777" w:rsidR="00AB772C" w:rsidRPr="00F21AE7" w:rsidRDefault="00AB772C" w:rsidP="00AB772C">
      <w:pPr>
        <w:rPr>
          <w:rFonts w:ascii="Arial" w:hAnsi="Arial" w:cs="Arial"/>
        </w:rPr>
      </w:pPr>
    </w:p>
    <w:p w14:paraId="55BEF480" w14:textId="77777777" w:rsidR="00AB772C" w:rsidRPr="00517AD1" w:rsidRDefault="00AB772C" w:rsidP="00AB772C">
      <w:pPr>
        <w:rPr>
          <w:rFonts w:ascii="Arial" w:hAnsi="Arial" w:cs="Arial"/>
          <w:b/>
          <w:bCs/>
        </w:rPr>
      </w:pPr>
      <w:r w:rsidRPr="00517AD1">
        <w:rPr>
          <w:rFonts w:ascii="Arial" w:hAnsi="Arial" w:cs="Arial"/>
          <w:b/>
          <w:bCs/>
        </w:rPr>
        <w:t>Research Methods</w:t>
      </w:r>
    </w:p>
    <w:p w14:paraId="19B6C8AA" w14:textId="6C4C6FCF" w:rsidR="00AB772C" w:rsidRPr="00B13DF3" w:rsidRDefault="00AB772C" w:rsidP="00AB772C">
      <w:pPr>
        <w:rPr>
          <w:rFonts w:ascii="Arial" w:hAnsi="Arial" w:cs="Arial"/>
        </w:rPr>
      </w:pPr>
      <w:r w:rsidRPr="00B13DF3">
        <w:rPr>
          <w:rFonts w:ascii="Arial" w:hAnsi="Arial" w:cs="Arial"/>
        </w:rPr>
        <w:t xml:space="preserve">To achieve our research </w:t>
      </w:r>
      <w:r>
        <w:rPr>
          <w:rFonts w:ascii="Arial" w:hAnsi="Arial" w:cs="Arial"/>
        </w:rPr>
        <w:t>goals</w:t>
      </w:r>
      <w:r w:rsidRPr="00B13DF3">
        <w:rPr>
          <w:rFonts w:ascii="Arial" w:hAnsi="Arial" w:cs="Arial"/>
        </w:rPr>
        <w:t xml:space="preserve">, </w:t>
      </w:r>
      <w:r>
        <w:rPr>
          <w:rFonts w:ascii="Arial" w:hAnsi="Arial" w:cs="Arial"/>
        </w:rPr>
        <w:t>several analyses will be conducted</w:t>
      </w:r>
      <w:r w:rsidRPr="00B13DF3">
        <w:rPr>
          <w:rFonts w:ascii="Arial" w:hAnsi="Arial" w:cs="Arial"/>
        </w:rPr>
        <w:t>:</w:t>
      </w:r>
    </w:p>
    <w:p w14:paraId="143CE665" w14:textId="29D02A1F" w:rsidR="00AB772C" w:rsidRDefault="00AB772C" w:rsidP="00AB772C">
      <w:pPr>
        <w:pStyle w:val="ListParagraph"/>
        <w:numPr>
          <w:ilvl w:val="0"/>
          <w:numId w:val="1"/>
        </w:numPr>
        <w:rPr>
          <w:rFonts w:ascii="Arial" w:hAnsi="Arial" w:cs="Arial"/>
        </w:rPr>
      </w:pPr>
      <w:r>
        <w:rPr>
          <w:rFonts w:ascii="Arial" w:hAnsi="Arial" w:cs="Arial"/>
        </w:rPr>
        <w:t>Data cleaning: Develop inclusion/exclusion criteria to select patients eligible for analyses.</w:t>
      </w:r>
      <w:r w:rsidDel="00F45E34">
        <w:rPr>
          <w:rFonts w:ascii="Arial" w:hAnsi="Arial" w:cs="Arial"/>
        </w:rPr>
        <w:t xml:space="preserve"> </w:t>
      </w:r>
      <w:r w:rsidRPr="00A86048">
        <w:rPr>
          <w:rFonts w:ascii="Arial" w:hAnsi="Arial" w:cs="Arial"/>
        </w:rPr>
        <w:t>Evaluate the presence of missing data and establish an appropriate methodology for addressing and managing such data gaps.</w:t>
      </w:r>
    </w:p>
    <w:p w14:paraId="7F5F72D9" w14:textId="4E6EB38B" w:rsidR="00AB772C" w:rsidRDefault="00AB772C" w:rsidP="00AB772C">
      <w:pPr>
        <w:pStyle w:val="ListParagraph"/>
        <w:numPr>
          <w:ilvl w:val="0"/>
          <w:numId w:val="1"/>
        </w:numPr>
        <w:rPr>
          <w:rFonts w:ascii="Arial" w:hAnsi="Arial" w:cs="Arial"/>
        </w:rPr>
      </w:pPr>
      <w:r>
        <w:rPr>
          <w:rFonts w:ascii="Arial" w:hAnsi="Arial" w:cs="Arial"/>
        </w:rPr>
        <w:t xml:space="preserve">Conventional subgroup analyses: For each potential critical factor, stratify patients into subgroups based on the specific factor and estimate the treatment effect within each subgroup.  </w:t>
      </w:r>
    </w:p>
    <w:p w14:paraId="0BC5FDF3" w14:textId="5238960B" w:rsidR="00AB772C" w:rsidRDefault="00AB772C" w:rsidP="00AB772C">
      <w:pPr>
        <w:pStyle w:val="ListParagraph"/>
        <w:numPr>
          <w:ilvl w:val="0"/>
          <w:numId w:val="1"/>
        </w:numPr>
        <w:rPr>
          <w:rFonts w:ascii="Arial" w:hAnsi="Arial" w:cs="Arial"/>
        </w:rPr>
      </w:pPr>
      <w:r>
        <w:rPr>
          <w:rFonts w:ascii="Arial" w:hAnsi="Arial" w:cs="Arial"/>
        </w:rPr>
        <w:lastRenderedPageBreak/>
        <w:t xml:space="preserve">Risk-based HTE approach: </w:t>
      </w:r>
      <w:r w:rsidRPr="001E2298">
        <w:rPr>
          <w:rFonts w:ascii="Arial" w:hAnsi="Arial" w:cs="Arial"/>
        </w:rPr>
        <w:t>Construct a comprehensive risk model that incorporates multiple covariates, including demographics and disease-related variables, to compute personalized risk scores for each patient.</w:t>
      </w:r>
      <w:r>
        <w:rPr>
          <w:rFonts w:ascii="Arial" w:hAnsi="Arial" w:cs="Arial"/>
        </w:rPr>
        <w:t xml:space="preserve"> Stratify patients into subgroups based on varying levels of predicted risk scores. Estimate the treatment effect of each subgroup. </w:t>
      </w:r>
    </w:p>
    <w:p w14:paraId="45AC045B" w14:textId="1F36C770" w:rsidR="00AB772C" w:rsidRDefault="00AB772C" w:rsidP="00AB772C">
      <w:pPr>
        <w:pStyle w:val="ListParagraph"/>
        <w:numPr>
          <w:ilvl w:val="0"/>
          <w:numId w:val="1"/>
        </w:numPr>
        <w:rPr>
          <w:rFonts w:ascii="Arial" w:hAnsi="Arial" w:cs="Arial"/>
        </w:rPr>
      </w:pPr>
      <w:r>
        <w:rPr>
          <w:rFonts w:ascii="Arial" w:hAnsi="Arial" w:cs="Arial"/>
        </w:rPr>
        <w:t xml:space="preserve">Effect-based HTE approach: Develop a model to predict treatment effect based on multiple characteristics. Predict the treatment effect for each patient. Stratify patients into subgroups based on their predicted treatment effects. Estimate the real treatment effect for each </w:t>
      </w:r>
      <w:r w:rsidR="004E0E80">
        <w:rPr>
          <w:rFonts w:ascii="Arial" w:hAnsi="Arial" w:cs="Arial"/>
        </w:rPr>
        <w:t>subgroup</w:t>
      </w:r>
      <w:r>
        <w:rPr>
          <w:rFonts w:ascii="Arial" w:hAnsi="Arial" w:cs="Arial"/>
        </w:rPr>
        <w:t>.</w:t>
      </w:r>
    </w:p>
    <w:p w14:paraId="53257FA3" w14:textId="536611F0" w:rsidR="00BF0CEA" w:rsidRDefault="00F915F5" w:rsidP="00AB772C">
      <w:pPr>
        <w:pStyle w:val="ListParagraph"/>
        <w:numPr>
          <w:ilvl w:val="0"/>
          <w:numId w:val="1"/>
        </w:numPr>
        <w:rPr>
          <w:rFonts w:ascii="Arial" w:hAnsi="Arial" w:cs="Arial"/>
        </w:rPr>
      </w:pPr>
      <w:r>
        <w:rPr>
          <w:rFonts w:ascii="Arial" w:hAnsi="Arial" w:cs="Arial"/>
        </w:rPr>
        <w:t xml:space="preserve">Characterize ibrutinib exposure in individual patients: </w:t>
      </w:r>
      <w:r w:rsidR="00D1131E">
        <w:rPr>
          <w:rFonts w:ascii="Arial" w:hAnsi="Arial" w:cs="Arial"/>
        </w:rPr>
        <w:t xml:space="preserve">Develop a popPK model </w:t>
      </w:r>
      <w:r w:rsidR="00D57C98">
        <w:rPr>
          <w:rFonts w:ascii="Arial" w:hAnsi="Arial" w:cs="Arial"/>
        </w:rPr>
        <w:t xml:space="preserve">including covariate effects </w:t>
      </w:r>
      <w:r w:rsidR="00D1131E">
        <w:rPr>
          <w:rFonts w:ascii="Arial" w:hAnsi="Arial" w:cs="Arial"/>
        </w:rPr>
        <w:t xml:space="preserve">to describe the ibrutinib exposure at </w:t>
      </w:r>
      <w:r w:rsidR="00D57C98">
        <w:rPr>
          <w:rFonts w:ascii="Arial" w:hAnsi="Arial" w:cs="Arial"/>
        </w:rPr>
        <w:t>disease compartment for each individual patient</w:t>
      </w:r>
      <w:r w:rsidR="00582683">
        <w:rPr>
          <w:rFonts w:ascii="Arial" w:hAnsi="Arial" w:cs="Arial"/>
        </w:rPr>
        <w:t xml:space="preserve">. </w:t>
      </w:r>
      <w:r w:rsidR="00D57C98">
        <w:rPr>
          <w:rFonts w:ascii="Arial" w:hAnsi="Arial" w:cs="Arial"/>
        </w:rPr>
        <w:t xml:space="preserve"> </w:t>
      </w:r>
    </w:p>
    <w:p w14:paraId="11141AE9" w14:textId="239EE208" w:rsidR="00AB772C" w:rsidRPr="005437AC" w:rsidRDefault="00AB772C" w:rsidP="004E0E80">
      <w:pPr>
        <w:pStyle w:val="ListParagraph"/>
        <w:numPr>
          <w:ilvl w:val="0"/>
          <w:numId w:val="1"/>
        </w:numPr>
        <w:rPr>
          <w:rFonts w:ascii="Arial" w:hAnsi="Arial" w:cs="Arial"/>
          <w:b/>
          <w:bCs/>
        </w:rPr>
      </w:pPr>
      <w:r w:rsidRPr="00BF0CEA">
        <w:rPr>
          <w:rFonts w:ascii="Arial" w:hAnsi="Arial" w:cs="Arial"/>
        </w:rPr>
        <w:t xml:space="preserve">Derive casual </w:t>
      </w:r>
      <w:r w:rsidR="00EE01F1">
        <w:rPr>
          <w:rFonts w:ascii="Arial" w:hAnsi="Arial" w:cs="Arial"/>
        </w:rPr>
        <w:t>E</w:t>
      </w:r>
      <w:r w:rsidRPr="00BF0CEA">
        <w:rPr>
          <w:rFonts w:ascii="Arial" w:hAnsi="Arial" w:cs="Arial"/>
        </w:rPr>
        <w:t xml:space="preserve">-R relationships: Evaluate the relationship between </w:t>
      </w:r>
      <w:r w:rsidR="00A7215C">
        <w:rPr>
          <w:rFonts w:ascii="Arial" w:hAnsi="Arial" w:cs="Arial"/>
        </w:rPr>
        <w:t>predicted ibrutinib</w:t>
      </w:r>
      <w:r w:rsidRPr="005437AC">
        <w:rPr>
          <w:rFonts w:ascii="Arial" w:hAnsi="Arial" w:cs="Arial"/>
        </w:rPr>
        <w:t xml:space="preserve"> exposure and patient response within each subgroup. </w:t>
      </w:r>
    </w:p>
    <w:p w14:paraId="4B591EF5" w14:textId="77777777" w:rsidR="00AB772C" w:rsidRDefault="00AB772C" w:rsidP="00AB772C">
      <w:pPr>
        <w:rPr>
          <w:rFonts w:ascii="Arial" w:hAnsi="Arial" w:cs="Arial"/>
          <w:b/>
          <w:bCs/>
        </w:rPr>
      </w:pPr>
    </w:p>
    <w:p w14:paraId="35056D54" w14:textId="77777777" w:rsidR="00AB772C" w:rsidRPr="00FF0A93" w:rsidRDefault="00AB772C" w:rsidP="00AB772C">
      <w:pPr>
        <w:rPr>
          <w:rFonts w:ascii="Arial" w:hAnsi="Arial" w:cs="Arial"/>
          <w:b/>
          <w:bCs/>
        </w:rPr>
      </w:pPr>
      <w:r w:rsidRPr="00FF0A93">
        <w:rPr>
          <w:rFonts w:ascii="Arial" w:hAnsi="Arial" w:cs="Arial"/>
          <w:b/>
          <w:bCs/>
        </w:rPr>
        <w:t>Software to be used</w:t>
      </w:r>
    </w:p>
    <w:p w14:paraId="2C3FFE91" w14:textId="77777777" w:rsidR="00AB772C" w:rsidRDefault="00AB772C" w:rsidP="00AB772C">
      <w:pPr>
        <w:rPr>
          <w:rFonts w:ascii="Arial" w:hAnsi="Arial" w:cs="Arial"/>
        </w:rPr>
      </w:pPr>
      <w:r>
        <w:rPr>
          <w:rFonts w:ascii="Arial" w:hAnsi="Arial" w:cs="Arial"/>
        </w:rPr>
        <w:t>R and Monolix</w:t>
      </w:r>
    </w:p>
    <w:p w14:paraId="2E15CC5B" w14:textId="77777777" w:rsidR="00AB772C" w:rsidRPr="00F21AE7" w:rsidRDefault="00AB772C" w:rsidP="00AB772C">
      <w:pPr>
        <w:rPr>
          <w:rFonts w:ascii="Arial" w:hAnsi="Arial" w:cs="Arial"/>
        </w:rPr>
      </w:pPr>
    </w:p>
    <w:p w14:paraId="154D8412" w14:textId="77777777" w:rsidR="00AB772C" w:rsidRPr="00D11B6A" w:rsidRDefault="00AB772C" w:rsidP="00AB772C">
      <w:pPr>
        <w:rPr>
          <w:rFonts w:ascii="Arial" w:hAnsi="Arial" w:cs="Arial"/>
          <w:b/>
          <w:bCs/>
        </w:rPr>
      </w:pPr>
      <w:r w:rsidRPr="00D11B6A">
        <w:rPr>
          <w:rFonts w:ascii="Arial" w:hAnsi="Arial" w:cs="Arial"/>
          <w:b/>
          <w:bCs/>
        </w:rPr>
        <w:t>Data Source and Inclusion/Exclusion Criteria</w:t>
      </w:r>
    </w:p>
    <w:p w14:paraId="59D0652E" w14:textId="333F0C8E" w:rsidR="00AB772C" w:rsidRDefault="00AB772C" w:rsidP="00AB772C">
      <w:pPr>
        <w:rPr>
          <w:rFonts w:ascii="Arial" w:hAnsi="Arial" w:cs="Arial"/>
        </w:rPr>
      </w:pPr>
      <w:r>
        <w:rPr>
          <w:rFonts w:ascii="Arial" w:hAnsi="Arial" w:cs="Arial"/>
        </w:rPr>
        <w:t xml:space="preserve">Adult patients receiving </w:t>
      </w:r>
      <w:r w:rsidR="001C307A">
        <w:rPr>
          <w:rFonts w:ascii="Arial" w:hAnsi="Arial" w:cs="Arial"/>
        </w:rPr>
        <w:t>ibrutinib</w:t>
      </w:r>
      <w:r>
        <w:rPr>
          <w:rFonts w:ascii="Arial" w:hAnsi="Arial" w:cs="Arial"/>
        </w:rPr>
        <w:t xml:space="preserve"> and/or other relevant agents for the treatment of </w:t>
      </w:r>
      <w:r w:rsidR="00BF0CEA">
        <w:rPr>
          <w:rFonts w:ascii="Arial" w:hAnsi="Arial" w:cs="Arial"/>
        </w:rPr>
        <w:t>CLL,</w:t>
      </w:r>
      <w:r w:rsidR="001C307A" w:rsidRPr="001C307A">
        <w:rPr>
          <w:rFonts w:ascii="Arial" w:hAnsi="Arial" w:cs="Arial"/>
        </w:rPr>
        <w:t xml:space="preserve"> </w:t>
      </w:r>
      <w:r w:rsidR="00BF0CEA">
        <w:rPr>
          <w:rFonts w:ascii="Arial" w:hAnsi="Arial" w:cs="Arial"/>
        </w:rPr>
        <w:t>SLL, or WM</w:t>
      </w:r>
      <w:r>
        <w:rPr>
          <w:rFonts w:ascii="Arial" w:hAnsi="Arial" w:cs="Arial"/>
        </w:rPr>
        <w:t xml:space="preserve"> from studies </w:t>
      </w:r>
      <w:r w:rsidR="009C7175" w:rsidRPr="009C7175">
        <w:rPr>
          <w:rFonts w:ascii="Arial" w:hAnsi="Arial" w:cs="Arial"/>
        </w:rPr>
        <w:t>NCT02264574</w:t>
      </w:r>
      <w:r w:rsidR="00BF0CEA">
        <w:rPr>
          <w:rFonts w:ascii="Arial" w:hAnsi="Arial" w:cs="Arial"/>
        </w:rPr>
        <w:t>,</w:t>
      </w:r>
      <w:r w:rsidR="00CC3ED4">
        <w:rPr>
          <w:rFonts w:ascii="Arial" w:hAnsi="Arial" w:cs="Arial"/>
        </w:rPr>
        <w:t xml:space="preserve"> </w:t>
      </w:r>
      <w:r w:rsidR="00F936AD" w:rsidRPr="00F936AD">
        <w:rPr>
          <w:rFonts w:ascii="Arial" w:hAnsi="Arial" w:cs="Arial"/>
        </w:rPr>
        <w:t>NCT01578707</w:t>
      </w:r>
      <w:r w:rsidR="00BF0CEA">
        <w:rPr>
          <w:rFonts w:ascii="Arial" w:hAnsi="Arial" w:cs="Arial"/>
        </w:rPr>
        <w:t xml:space="preserve">, and </w:t>
      </w:r>
      <w:r w:rsidR="00261418" w:rsidRPr="00261418">
        <w:rPr>
          <w:rFonts w:ascii="Arial" w:hAnsi="Arial" w:cs="Arial"/>
        </w:rPr>
        <w:t>NCT02165397</w:t>
      </w:r>
      <w:r>
        <w:rPr>
          <w:rFonts w:ascii="Arial" w:hAnsi="Arial" w:cs="Arial"/>
        </w:rPr>
        <w:t xml:space="preserve">. The following variables are requested: </w:t>
      </w:r>
    </w:p>
    <w:p w14:paraId="2AC669DB" w14:textId="77777777" w:rsidR="00AB772C" w:rsidRDefault="00AB772C" w:rsidP="00AB772C">
      <w:pPr>
        <w:pStyle w:val="ListParagraph"/>
        <w:numPr>
          <w:ilvl w:val="0"/>
          <w:numId w:val="2"/>
        </w:numPr>
        <w:rPr>
          <w:rFonts w:ascii="Arial" w:hAnsi="Arial" w:cs="Arial"/>
        </w:rPr>
      </w:pPr>
      <w:r w:rsidRPr="004E0E80">
        <w:rPr>
          <w:rFonts w:ascii="Arial" w:hAnsi="Arial" w:cs="Arial"/>
        </w:rPr>
        <w:t>Demographic variables: age, sex, race, height, body weight, ECOG performance-status score, number of lines of previous therapy, hepatic impairment, renal impairment, etc.</w:t>
      </w:r>
    </w:p>
    <w:p w14:paraId="18D7CFBA" w14:textId="42E0C408" w:rsidR="00AB772C" w:rsidRDefault="00AB772C" w:rsidP="00AB772C">
      <w:pPr>
        <w:pStyle w:val="ListParagraph"/>
        <w:numPr>
          <w:ilvl w:val="0"/>
          <w:numId w:val="2"/>
        </w:numPr>
        <w:rPr>
          <w:rFonts w:ascii="Arial" w:hAnsi="Arial" w:cs="Arial"/>
        </w:rPr>
      </w:pPr>
      <w:r w:rsidRPr="004E0E80">
        <w:rPr>
          <w:rFonts w:ascii="Arial" w:hAnsi="Arial" w:cs="Arial"/>
        </w:rPr>
        <w:lastRenderedPageBreak/>
        <w:t xml:space="preserve">Disease-related variables: time since diagnosis, </w:t>
      </w:r>
      <w:r w:rsidR="00A8457B" w:rsidRPr="00A8457B">
        <w:rPr>
          <w:rFonts w:ascii="Arial" w:hAnsi="Arial" w:cs="Arial"/>
        </w:rPr>
        <w:t>del17p</w:t>
      </w:r>
      <w:r w:rsidR="00A8457B">
        <w:rPr>
          <w:rFonts w:ascii="Arial" w:hAnsi="Arial" w:cs="Arial"/>
        </w:rPr>
        <w:t>,</w:t>
      </w:r>
      <w:r w:rsidR="00A8457B" w:rsidRPr="00A8457B">
        <w:rPr>
          <w:rFonts w:ascii="Arial" w:hAnsi="Arial" w:cs="Arial"/>
        </w:rPr>
        <w:t xml:space="preserve"> TP53 mutation</w:t>
      </w:r>
      <w:r w:rsidR="00A8457B">
        <w:rPr>
          <w:rFonts w:ascii="Arial" w:hAnsi="Arial" w:cs="Arial"/>
        </w:rPr>
        <w:t>,</w:t>
      </w:r>
      <w:r w:rsidR="00A8457B" w:rsidRPr="00A8457B">
        <w:rPr>
          <w:rFonts w:ascii="Arial" w:hAnsi="Arial" w:cs="Arial"/>
        </w:rPr>
        <w:t xml:space="preserve"> del 11q</w:t>
      </w:r>
      <w:r w:rsidRPr="004E0E80">
        <w:rPr>
          <w:rFonts w:ascii="Arial" w:hAnsi="Arial" w:cs="Arial"/>
        </w:rPr>
        <w:t xml:space="preserve">, </w:t>
      </w:r>
      <w:r w:rsidR="0029231D" w:rsidRPr="0029231D">
        <w:rPr>
          <w:rFonts w:ascii="Arial" w:hAnsi="Arial" w:cs="Arial"/>
        </w:rPr>
        <w:t xml:space="preserve">Immunoglobulin Heavy Chain Variable Region </w:t>
      </w:r>
      <w:r w:rsidR="0029231D">
        <w:rPr>
          <w:rFonts w:ascii="Arial" w:hAnsi="Arial" w:cs="Arial"/>
        </w:rPr>
        <w:t>(</w:t>
      </w:r>
      <w:r w:rsidR="0029231D" w:rsidRPr="0029231D">
        <w:rPr>
          <w:rFonts w:ascii="Arial" w:hAnsi="Arial" w:cs="Arial"/>
        </w:rPr>
        <w:t>IGHV</w:t>
      </w:r>
      <w:r w:rsidR="0029231D">
        <w:rPr>
          <w:rFonts w:ascii="Arial" w:hAnsi="Arial" w:cs="Arial"/>
        </w:rPr>
        <w:t xml:space="preserve">) mutation, </w:t>
      </w:r>
      <w:r w:rsidR="002A20E6">
        <w:rPr>
          <w:rFonts w:ascii="Roboto" w:hAnsi="Roboto"/>
          <w:color w:val="1B1B1B"/>
          <w:shd w:val="clear" w:color="auto" w:fill="FFFFFF"/>
        </w:rPr>
        <w:t xml:space="preserve">hemoglobin level at baseline, </w:t>
      </w:r>
      <w:r w:rsidRPr="004E0E80">
        <w:rPr>
          <w:rFonts w:ascii="Arial" w:hAnsi="Arial" w:cs="Arial"/>
        </w:rPr>
        <w:t>etc.</w:t>
      </w:r>
    </w:p>
    <w:p w14:paraId="2A48CBE4" w14:textId="77777777" w:rsidR="00AB772C" w:rsidRPr="004E0E80" w:rsidRDefault="00AB772C" w:rsidP="00AB772C">
      <w:pPr>
        <w:pStyle w:val="ListParagraph"/>
        <w:numPr>
          <w:ilvl w:val="0"/>
          <w:numId w:val="2"/>
        </w:numPr>
        <w:rPr>
          <w:rFonts w:ascii="Arial" w:hAnsi="Arial" w:cs="Arial"/>
        </w:rPr>
      </w:pPr>
      <w:r w:rsidRPr="004E0E80">
        <w:rPr>
          <w:rFonts w:ascii="Arial" w:hAnsi="Arial" w:cs="Arial"/>
        </w:rPr>
        <w:t>Treatment-related variables: dos</w:t>
      </w:r>
      <w:r>
        <w:rPr>
          <w:rFonts w:ascii="Arial" w:hAnsi="Arial" w:cs="Arial"/>
        </w:rPr>
        <w:t>age</w:t>
      </w:r>
      <w:r w:rsidRPr="004E0E80">
        <w:rPr>
          <w:rFonts w:ascii="Arial" w:hAnsi="Arial" w:cs="Arial"/>
        </w:rPr>
        <w:t xml:space="preserve">, dosing </w:t>
      </w:r>
      <w:r>
        <w:rPr>
          <w:rFonts w:ascii="Arial" w:hAnsi="Arial" w:cs="Arial"/>
        </w:rPr>
        <w:t>schedule</w:t>
      </w:r>
      <w:r w:rsidRPr="004E0E80">
        <w:rPr>
          <w:rFonts w:ascii="Arial" w:hAnsi="Arial" w:cs="Arial"/>
        </w:rPr>
        <w:t>, duration of treatment, concomitant medications, etc.</w:t>
      </w:r>
    </w:p>
    <w:p w14:paraId="45C2C1F2" w14:textId="29DCD378" w:rsidR="00AB772C" w:rsidRDefault="00AB772C" w:rsidP="004E0E80">
      <w:pPr>
        <w:pStyle w:val="ListParagraph"/>
        <w:numPr>
          <w:ilvl w:val="0"/>
          <w:numId w:val="2"/>
        </w:numPr>
        <w:rPr>
          <w:rFonts w:ascii="Arial" w:hAnsi="Arial" w:cs="Arial"/>
        </w:rPr>
      </w:pPr>
      <w:r>
        <w:rPr>
          <w:rFonts w:ascii="Arial" w:hAnsi="Arial" w:cs="Arial"/>
        </w:rPr>
        <w:t xml:space="preserve">Outcome measure: </w:t>
      </w:r>
      <w:r w:rsidR="0080789F" w:rsidRPr="0080789F">
        <w:rPr>
          <w:rFonts w:ascii="Arial" w:hAnsi="Arial" w:cs="Arial"/>
        </w:rPr>
        <w:t>Progression Free Survival (PFS)</w:t>
      </w:r>
      <w:r w:rsidR="00EC095B">
        <w:rPr>
          <w:rFonts w:ascii="Arial" w:hAnsi="Arial" w:cs="Arial"/>
        </w:rPr>
        <w:t xml:space="preserve">, </w:t>
      </w:r>
      <w:r w:rsidR="00DC5C73" w:rsidRPr="00DC5C73">
        <w:rPr>
          <w:rFonts w:ascii="Arial" w:hAnsi="Arial" w:cs="Arial"/>
        </w:rPr>
        <w:t>Overall Response Rate (ORR)</w:t>
      </w:r>
      <w:r>
        <w:rPr>
          <w:rFonts w:ascii="Arial" w:hAnsi="Arial" w:cs="Arial"/>
        </w:rPr>
        <w:t xml:space="preserve">, </w:t>
      </w:r>
      <w:r w:rsidR="00C27684">
        <w:rPr>
          <w:rFonts w:ascii="Arial" w:hAnsi="Arial" w:cs="Arial"/>
        </w:rPr>
        <w:t>O</w:t>
      </w:r>
      <w:r w:rsidRPr="00BE0037">
        <w:rPr>
          <w:rFonts w:ascii="Arial" w:hAnsi="Arial" w:cs="Arial"/>
        </w:rPr>
        <w:t xml:space="preserve">verall </w:t>
      </w:r>
      <w:r w:rsidR="00C27684">
        <w:rPr>
          <w:rFonts w:ascii="Arial" w:hAnsi="Arial" w:cs="Arial"/>
        </w:rPr>
        <w:t>S</w:t>
      </w:r>
      <w:r w:rsidRPr="00BE0037">
        <w:rPr>
          <w:rFonts w:ascii="Arial" w:hAnsi="Arial" w:cs="Arial"/>
        </w:rPr>
        <w:t>urvival (OS)</w:t>
      </w:r>
      <w:r>
        <w:rPr>
          <w:rFonts w:ascii="Arial" w:hAnsi="Arial" w:cs="Arial"/>
        </w:rPr>
        <w:t xml:space="preserve">, </w:t>
      </w:r>
      <w:r w:rsidR="003E7460" w:rsidRPr="003E7460">
        <w:rPr>
          <w:rFonts w:ascii="Arial" w:hAnsi="Arial" w:cs="Arial"/>
        </w:rPr>
        <w:t>Rate of Minimal Residual Disease (MRD)</w:t>
      </w:r>
      <w:r w:rsidR="003E7460">
        <w:rPr>
          <w:rFonts w:ascii="Arial" w:hAnsi="Arial" w:cs="Arial"/>
        </w:rPr>
        <w:t xml:space="preserve">, </w:t>
      </w:r>
      <w:r w:rsidR="000371E4" w:rsidRPr="000371E4">
        <w:rPr>
          <w:rFonts w:ascii="Arial" w:hAnsi="Arial" w:cs="Arial"/>
        </w:rPr>
        <w:t>Rate of Sustained Hemoglobin Improvement</w:t>
      </w:r>
      <w:r w:rsidR="000371E4">
        <w:rPr>
          <w:rFonts w:ascii="Arial" w:hAnsi="Arial" w:cs="Arial"/>
        </w:rPr>
        <w:t xml:space="preserve">, </w:t>
      </w:r>
      <w:r>
        <w:rPr>
          <w:rFonts w:ascii="Arial" w:hAnsi="Arial" w:cs="Arial"/>
        </w:rPr>
        <w:t>etc.</w:t>
      </w:r>
    </w:p>
    <w:p w14:paraId="3B1A6DD1" w14:textId="5DB461CE" w:rsidR="009C5CEC" w:rsidRPr="004E0E80" w:rsidRDefault="009C5CEC" w:rsidP="004E0E80">
      <w:pPr>
        <w:pStyle w:val="ListParagraph"/>
        <w:numPr>
          <w:ilvl w:val="0"/>
          <w:numId w:val="2"/>
        </w:numPr>
        <w:rPr>
          <w:rFonts w:ascii="Arial" w:hAnsi="Arial" w:cs="Arial"/>
        </w:rPr>
      </w:pPr>
      <w:r>
        <w:rPr>
          <w:rFonts w:ascii="Arial" w:hAnsi="Arial" w:cs="Arial"/>
        </w:rPr>
        <w:t xml:space="preserve">PK data: </w:t>
      </w:r>
      <w:r w:rsidR="005A7826">
        <w:rPr>
          <w:rFonts w:ascii="Arial" w:hAnsi="Arial" w:cs="Arial"/>
        </w:rPr>
        <w:t>ibrutinib concentration-time profile</w:t>
      </w:r>
      <w:r w:rsidR="00841DB3">
        <w:rPr>
          <w:rFonts w:ascii="Arial" w:hAnsi="Arial" w:cs="Arial"/>
        </w:rPr>
        <w:t xml:space="preserve">. </w:t>
      </w:r>
    </w:p>
    <w:p w14:paraId="5176E9A6" w14:textId="77777777" w:rsidR="00AB772C" w:rsidRPr="00F21AE7" w:rsidRDefault="00AB772C" w:rsidP="00AB772C">
      <w:pPr>
        <w:rPr>
          <w:rFonts w:ascii="Arial" w:hAnsi="Arial" w:cs="Arial"/>
        </w:rPr>
      </w:pPr>
    </w:p>
    <w:p w14:paraId="59EE7146" w14:textId="77777777" w:rsidR="00AB772C" w:rsidRDefault="00AB772C" w:rsidP="00AB772C">
      <w:pPr>
        <w:rPr>
          <w:rFonts w:ascii="Arial" w:hAnsi="Arial" w:cs="Arial"/>
          <w:b/>
          <w:bCs/>
        </w:rPr>
      </w:pPr>
      <w:r w:rsidRPr="00F53BBD">
        <w:rPr>
          <w:rFonts w:ascii="Arial" w:hAnsi="Arial" w:cs="Arial"/>
          <w:b/>
          <w:bCs/>
        </w:rPr>
        <w:t>Primary Outcome Measure</w:t>
      </w:r>
    </w:p>
    <w:p w14:paraId="6266AB77" w14:textId="29E08DCE" w:rsidR="00AB772C" w:rsidRDefault="00E940C7" w:rsidP="00AB772C">
      <w:pPr>
        <w:rPr>
          <w:rFonts w:ascii="Arial" w:hAnsi="Arial" w:cs="Arial"/>
        </w:rPr>
      </w:pPr>
      <w:r w:rsidRPr="00E940C7">
        <w:rPr>
          <w:rFonts w:ascii="Arial" w:hAnsi="Arial" w:cs="Arial"/>
        </w:rPr>
        <w:t>Progression Free Survival (PFS)</w:t>
      </w:r>
    </w:p>
    <w:p w14:paraId="151AE40E" w14:textId="77777777" w:rsidR="00E940C7" w:rsidRPr="00533FBE" w:rsidRDefault="00E940C7" w:rsidP="00AB772C">
      <w:pPr>
        <w:rPr>
          <w:rFonts w:ascii="Arial" w:hAnsi="Arial" w:cs="Arial"/>
        </w:rPr>
      </w:pPr>
    </w:p>
    <w:p w14:paraId="17CCD065" w14:textId="77777777" w:rsidR="00AB772C" w:rsidRDefault="00AB772C" w:rsidP="00AB772C">
      <w:pPr>
        <w:rPr>
          <w:rFonts w:ascii="Arial" w:hAnsi="Arial" w:cs="Arial"/>
          <w:b/>
          <w:bCs/>
        </w:rPr>
      </w:pPr>
      <w:r w:rsidRPr="00F53BBD">
        <w:rPr>
          <w:rFonts w:ascii="Arial" w:hAnsi="Arial" w:cs="Arial"/>
          <w:b/>
          <w:bCs/>
        </w:rPr>
        <w:t>Secondary Outcome Measure</w:t>
      </w:r>
    </w:p>
    <w:p w14:paraId="2DBA759E" w14:textId="54FA4171" w:rsidR="00AB772C" w:rsidRDefault="00AB7576" w:rsidP="00AB772C">
      <w:pPr>
        <w:rPr>
          <w:rFonts w:ascii="Arial" w:hAnsi="Arial" w:cs="Arial"/>
        </w:rPr>
      </w:pPr>
      <w:r w:rsidRPr="00AB7576">
        <w:rPr>
          <w:rFonts w:ascii="Arial" w:hAnsi="Arial" w:cs="Arial"/>
        </w:rPr>
        <w:t>Overall Response Rate (ORR), Overall Survival (OS)</w:t>
      </w:r>
      <w:r w:rsidR="003E7460">
        <w:rPr>
          <w:rFonts w:ascii="Arial" w:hAnsi="Arial" w:cs="Arial"/>
        </w:rPr>
        <w:t xml:space="preserve">, </w:t>
      </w:r>
      <w:r w:rsidR="003E7460" w:rsidRPr="003E7460">
        <w:rPr>
          <w:rFonts w:ascii="Arial" w:hAnsi="Arial" w:cs="Arial"/>
        </w:rPr>
        <w:t>Rate of Minimal Residual Disease (MRD)</w:t>
      </w:r>
      <w:r w:rsidR="000371E4">
        <w:rPr>
          <w:rFonts w:ascii="Arial" w:hAnsi="Arial" w:cs="Arial"/>
        </w:rPr>
        <w:t xml:space="preserve">, </w:t>
      </w:r>
      <w:r w:rsidR="000371E4" w:rsidRPr="000371E4">
        <w:rPr>
          <w:rFonts w:ascii="Arial" w:hAnsi="Arial" w:cs="Arial"/>
        </w:rPr>
        <w:t>Rate of Sustained Hemoglobin Improvement</w:t>
      </w:r>
      <w:r w:rsidR="00F91EC0">
        <w:rPr>
          <w:rFonts w:ascii="Arial" w:hAnsi="Arial" w:cs="Arial"/>
        </w:rPr>
        <w:t xml:space="preserve">, Toxicity and Tolerability </w:t>
      </w:r>
    </w:p>
    <w:p w14:paraId="4B37DD83" w14:textId="77777777" w:rsidR="00AB7576" w:rsidRPr="00AB44BC" w:rsidRDefault="00AB7576" w:rsidP="00AB772C">
      <w:pPr>
        <w:rPr>
          <w:rFonts w:ascii="Arial" w:hAnsi="Arial" w:cs="Arial"/>
        </w:rPr>
      </w:pPr>
    </w:p>
    <w:p w14:paraId="653F083C" w14:textId="77777777" w:rsidR="00AB772C" w:rsidRPr="00F53BBD" w:rsidRDefault="00AB772C" w:rsidP="00AB772C">
      <w:pPr>
        <w:rPr>
          <w:rFonts w:ascii="Arial" w:hAnsi="Arial" w:cs="Arial"/>
          <w:b/>
          <w:bCs/>
        </w:rPr>
      </w:pPr>
      <w:r w:rsidRPr="00F53BBD">
        <w:rPr>
          <w:rFonts w:ascii="Arial" w:hAnsi="Arial" w:cs="Arial"/>
          <w:b/>
          <w:bCs/>
        </w:rPr>
        <w:t>Main Predictor/Independent Variable</w:t>
      </w:r>
    </w:p>
    <w:p w14:paraId="57C56B44" w14:textId="3AA8EF57" w:rsidR="00CB66A6" w:rsidRPr="00CB66A6" w:rsidRDefault="00CB66A6" w:rsidP="00584E6F">
      <w:pPr>
        <w:rPr>
          <w:rFonts w:ascii="Arial" w:hAnsi="Arial" w:cs="Arial"/>
        </w:rPr>
      </w:pPr>
      <w:r w:rsidRPr="00CB66A6">
        <w:rPr>
          <w:rFonts w:ascii="Arial" w:hAnsi="Arial" w:cs="Arial"/>
        </w:rPr>
        <w:t>Demographic variables: age, sex, race, height, body weight, ECOG performance-status score, number of lines of previous therapy, hepatic impairment, renal impairment, etc.</w:t>
      </w:r>
    </w:p>
    <w:p w14:paraId="4BB103EB" w14:textId="77777777" w:rsidR="00CB66A6" w:rsidRPr="00CB66A6" w:rsidRDefault="00CB66A6" w:rsidP="00584E6F">
      <w:pPr>
        <w:rPr>
          <w:rFonts w:ascii="Arial" w:hAnsi="Arial" w:cs="Arial"/>
        </w:rPr>
      </w:pPr>
      <w:r w:rsidRPr="00CB66A6">
        <w:rPr>
          <w:rFonts w:ascii="Arial" w:hAnsi="Arial" w:cs="Arial"/>
        </w:rPr>
        <w:t xml:space="preserve">Disease-related variables: time since diagnosis, del17p, TP53 mutation, del 11q, Immunoglobulin Heavy Chain Variable Region (IGHV) mutation, </w:t>
      </w:r>
      <w:r w:rsidRPr="00CB66A6">
        <w:rPr>
          <w:rFonts w:ascii="Roboto" w:hAnsi="Roboto"/>
          <w:color w:val="1B1B1B"/>
          <w:shd w:val="clear" w:color="auto" w:fill="FFFFFF"/>
        </w:rPr>
        <w:t xml:space="preserve">hemoglobin level at baseline, </w:t>
      </w:r>
      <w:r w:rsidRPr="00CB66A6">
        <w:rPr>
          <w:rFonts w:ascii="Arial" w:hAnsi="Arial" w:cs="Arial"/>
        </w:rPr>
        <w:t>etc.</w:t>
      </w:r>
    </w:p>
    <w:p w14:paraId="60F01DA5" w14:textId="3F974B52" w:rsidR="00CB66A6" w:rsidRDefault="00CB66A6" w:rsidP="00584E6F">
      <w:pPr>
        <w:rPr>
          <w:rFonts w:ascii="Arial" w:hAnsi="Arial" w:cs="Arial"/>
        </w:rPr>
      </w:pPr>
      <w:r w:rsidRPr="00CB66A6">
        <w:rPr>
          <w:rFonts w:ascii="Arial" w:hAnsi="Arial" w:cs="Arial"/>
        </w:rPr>
        <w:t>Treatment-related variables: dosage, dosing schedule, duration of treatment, concomitant medications, etc.</w:t>
      </w:r>
    </w:p>
    <w:p w14:paraId="242211F2" w14:textId="77777777" w:rsidR="00A42A67" w:rsidRDefault="00A42A67" w:rsidP="00A42A67">
      <w:pPr>
        <w:rPr>
          <w:rFonts w:ascii="Arial" w:hAnsi="Arial" w:cs="Arial"/>
        </w:rPr>
      </w:pPr>
      <w:r>
        <w:rPr>
          <w:rFonts w:ascii="Arial" w:hAnsi="Arial" w:cs="Arial"/>
        </w:rPr>
        <w:t>Therapeutic exposure</w:t>
      </w:r>
      <w:r>
        <w:rPr>
          <w:rFonts w:ascii="Arial" w:hAnsi="Arial" w:cs="Arial" w:hint="eastAsia"/>
        </w:rPr>
        <w:t>:</w:t>
      </w:r>
      <w:r>
        <w:rPr>
          <w:rFonts w:ascii="Arial" w:hAnsi="Arial" w:cs="Arial"/>
        </w:rPr>
        <w:t xml:space="preserve"> ibrutinib dosage, dose modifications, pharmacokinetic measurements</w:t>
      </w:r>
    </w:p>
    <w:p w14:paraId="2A315D29" w14:textId="77777777" w:rsidR="00A42A67" w:rsidRPr="00CB66A6" w:rsidRDefault="00A42A67" w:rsidP="00584E6F">
      <w:pPr>
        <w:rPr>
          <w:rFonts w:ascii="Arial" w:hAnsi="Arial" w:cs="Arial"/>
        </w:rPr>
      </w:pPr>
    </w:p>
    <w:p w14:paraId="7F26C469" w14:textId="77777777" w:rsidR="00AB772C" w:rsidRDefault="00AB772C" w:rsidP="00AB772C">
      <w:pPr>
        <w:rPr>
          <w:rFonts w:ascii="Arial" w:hAnsi="Arial" w:cs="Arial"/>
        </w:rPr>
      </w:pPr>
    </w:p>
    <w:p w14:paraId="0D49E317" w14:textId="77777777" w:rsidR="00AB772C" w:rsidRPr="00EB5143" w:rsidRDefault="00AB772C" w:rsidP="00AB772C">
      <w:pPr>
        <w:rPr>
          <w:rFonts w:ascii="Arial" w:hAnsi="Arial" w:cs="Arial"/>
          <w:b/>
          <w:bCs/>
        </w:rPr>
      </w:pPr>
      <w:r w:rsidRPr="008317D2">
        <w:rPr>
          <w:rFonts w:ascii="Arial" w:hAnsi="Arial" w:cs="Arial"/>
          <w:b/>
          <w:bCs/>
        </w:rPr>
        <w:t>Statistical Analysis Plan</w:t>
      </w:r>
    </w:p>
    <w:p w14:paraId="66998F0B" w14:textId="72046DCE" w:rsidR="00AB772C" w:rsidRDefault="00AB772C" w:rsidP="00AB772C">
      <w:pPr>
        <w:rPr>
          <w:rFonts w:ascii="Arial" w:hAnsi="Arial" w:cs="Arial"/>
        </w:rPr>
      </w:pPr>
      <w:r w:rsidRPr="008317D2">
        <w:rPr>
          <w:rFonts w:ascii="Arial" w:hAnsi="Arial" w:cs="Arial"/>
        </w:rPr>
        <w:t xml:space="preserve">The statistical analysis plan for this research project is designed to rigorously evaluate the </w:t>
      </w:r>
      <w:r w:rsidR="005D59DC">
        <w:rPr>
          <w:rFonts w:ascii="Arial" w:hAnsi="Arial" w:cs="Arial"/>
        </w:rPr>
        <w:t>exposure</w:t>
      </w:r>
      <w:r w:rsidRPr="008317D2">
        <w:rPr>
          <w:rFonts w:ascii="Arial" w:hAnsi="Arial" w:cs="Arial"/>
        </w:rPr>
        <w:t xml:space="preserve">-response relationship of </w:t>
      </w:r>
      <w:r w:rsidR="00392DC0">
        <w:rPr>
          <w:rFonts w:ascii="Arial" w:hAnsi="Arial" w:cs="Arial"/>
        </w:rPr>
        <w:t>ibrutinib</w:t>
      </w:r>
      <w:r w:rsidRPr="008317D2">
        <w:rPr>
          <w:rFonts w:ascii="Arial" w:hAnsi="Arial" w:cs="Arial"/>
        </w:rPr>
        <w:t xml:space="preserve"> in </w:t>
      </w:r>
      <w:r>
        <w:rPr>
          <w:rFonts w:ascii="Arial" w:hAnsi="Arial" w:cs="Arial"/>
        </w:rPr>
        <w:t>treatment of</w:t>
      </w:r>
      <w:r w:rsidRPr="008317D2">
        <w:rPr>
          <w:rFonts w:ascii="Arial" w:hAnsi="Arial" w:cs="Arial"/>
        </w:rPr>
        <w:t xml:space="preserve"> </w:t>
      </w:r>
      <w:r w:rsidR="00392DC0">
        <w:rPr>
          <w:rFonts w:ascii="Arial" w:hAnsi="Arial" w:cs="Arial"/>
        </w:rPr>
        <w:t>CLL,</w:t>
      </w:r>
      <w:r w:rsidR="00521AA5">
        <w:rPr>
          <w:rFonts w:ascii="Arial" w:hAnsi="Arial" w:cs="Arial"/>
        </w:rPr>
        <w:t xml:space="preserve"> </w:t>
      </w:r>
      <w:r w:rsidR="00392DC0">
        <w:rPr>
          <w:rFonts w:ascii="Arial" w:hAnsi="Arial" w:cs="Arial"/>
        </w:rPr>
        <w:t>SLL or WM</w:t>
      </w:r>
      <w:r w:rsidRPr="008317D2">
        <w:rPr>
          <w:rFonts w:ascii="Arial" w:hAnsi="Arial" w:cs="Arial"/>
        </w:rPr>
        <w:t>. It encompasses a comprehensive approach involving various statistical techniques and models to achieve the specific aims of the study. The analysis plan is divided into several key components:</w:t>
      </w:r>
    </w:p>
    <w:p w14:paraId="2C1180D9" w14:textId="113B25F3" w:rsidR="00AB772C" w:rsidRPr="008317D2" w:rsidRDefault="00AB772C" w:rsidP="00AB772C">
      <w:pPr>
        <w:rPr>
          <w:rFonts w:ascii="Arial" w:hAnsi="Arial" w:cs="Arial"/>
        </w:rPr>
      </w:pPr>
      <w:r w:rsidRPr="008317D2">
        <w:rPr>
          <w:rFonts w:ascii="Arial" w:hAnsi="Arial" w:cs="Arial"/>
        </w:rPr>
        <w:t>Descriptive Statistics:</w:t>
      </w:r>
      <w:r>
        <w:rPr>
          <w:rFonts w:ascii="Arial" w:hAnsi="Arial" w:cs="Arial"/>
        </w:rPr>
        <w:t xml:space="preserve"> </w:t>
      </w:r>
      <w:r w:rsidRPr="008317D2">
        <w:rPr>
          <w:rFonts w:ascii="Arial" w:hAnsi="Arial" w:cs="Arial"/>
        </w:rPr>
        <w:t xml:space="preserve">Descriptive statistics will be employed to provide an overview of the dataset. This includes suarizing patient demographics, disease characteristics, and the distribution of </w:t>
      </w:r>
      <w:r w:rsidR="00315326">
        <w:rPr>
          <w:rFonts w:ascii="Arial" w:hAnsi="Arial" w:cs="Arial"/>
        </w:rPr>
        <w:t>ibrutinib</w:t>
      </w:r>
      <w:r w:rsidRPr="008317D2">
        <w:rPr>
          <w:rFonts w:ascii="Arial" w:hAnsi="Arial" w:cs="Arial"/>
        </w:rPr>
        <w:t xml:space="preserve"> concentrations. We will also examine the distribution of patient </w:t>
      </w:r>
      <w:r w:rsidR="007B3804">
        <w:rPr>
          <w:rFonts w:ascii="Arial" w:hAnsi="Arial" w:cs="Arial"/>
        </w:rPr>
        <w:t>PFS</w:t>
      </w:r>
      <w:r w:rsidRPr="008317D2">
        <w:rPr>
          <w:rFonts w:ascii="Arial" w:hAnsi="Arial" w:cs="Arial"/>
        </w:rPr>
        <w:t xml:space="preserve"> and secondary endpoints such as </w:t>
      </w:r>
      <w:r w:rsidR="00FC2E02">
        <w:rPr>
          <w:rFonts w:ascii="Arial" w:hAnsi="Arial" w:cs="Arial"/>
        </w:rPr>
        <w:t>OS, ORR</w:t>
      </w:r>
      <w:r w:rsidR="00F23E9C">
        <w:rPr>
          <w:rFonts w:ascii="Arial" w:hAnsi="Arial" w:cs="Arial"/>
        </w:rPr>
        <w:t>,</w:t>
      </w:r>
      <w:r w:rsidR="00FC2E02">
        <w:rPr>
          <w:rFonts w:ascii="Arial" w:hAnsi="Arial" w:cs="Arial"/>
        </w:rPr>
        <w:t xml:space="preserve"> and rate of MRD</w:t>
      </w:r>
      <w:r w:rsidRPr="008317D2">
        <w:rPr>
          <w:rFonts w:ascii="Arial" w:hAnsi="Arial" w:cs="Arial"/>
        </w:rPr>
        <w:t xml:space="preserve"> to gain a preliminary understanding of the data.</w:t>
      </w:r>
    </w:p>
    <w:p w14:paraId="3688D53B" w14:textId="280E73B6" w:rsidR="00AB772C" w:rsidRPr="008317D2" w:rsidRDefault="00AB772C" w:rsidP="00AB772C">
      <w:pPr>
        <w:rPr>
          <w:rFonts w:ascii="Arial" w:hAnsi="Arial" w:cs="Arial"/>
        </w:rPr>
      </w:pPr>
      <w:r w:rsidRPr="008317D2">
        <w:rPr>
          <w:rFonts w:ascii="Arial" w:hAnsi="Arial" w:cs="Arial"/>
        </w:rPr>
        <w:t>Population Pharmacokinetics (popPK) Model:</w:t>
      </w:r>
      <w:r>
        <w:rPr>
          <w:rFonts w:ascii="Arial" w:hAnsi="Arial" w:cs="Arial"/>
        </w:rPr>
        <w:t xml:space="preserve"> </w:t>
      </w:r>
      <w:r w:rsidRPr="008317D2">
        <w:rPr>
          <w:rFonts w:ascii="Arial" w:hAnsi="Arial" w:cs="Arial"/>
        </w:rPr>
        <w:t xml:space="preserve">To understand the pharmacokinetic behavior of </w:t>
      </w:r>
      <w:r w:rsidR="00236003">
        <w:rPr>
          <w:rFonts w:ascii="Arial" w:hAnsi="Arial" w:cs="Arial"/>
        </w:rPr>
        <w:t>ibrutinib</w:t>
      </w:r>
      <w:r w:rsidRPr="008317D2">
        <w:rPr>
          <w:rFonts w:ascii="Arial" w:hAnsi="Arial" w:cs="Arial"/>
        </w:rPr>
        <w:t xml:space="preserve"> in individual patients, a population pharmacokinetics (popPK) model</w:t>
      </w:r>
      <w:r>
        <w:rPr>
          <w:rFonts w:ascii="Arial" w:hAnsi="Arial" w:cs="Arial"/>
        </w:rPr>
        <w:t xml:space="preserve"> which accounts for multiple covariates will be employed to characterize the</w:t>
      </w:r>
      <w:r w:rsidRPr="008317D2">
        <w:rPr>
          <w:rFonts w:ascii="Arial" w:hAnsi="Arial" w:cs="Arial"/>
        </w:rPr>
        <w:t xml:space="preserve"> concentration-time profiles</w:t>
      </w:r>
      <w:r>
        <w:rPr>
          <w:rFonts w:ascii="Arial" w:hAnsi="Arial" w:cs="Arial"/>
        </w:rPr>
        <w:t xml:space="preserve"> of </w:t>
      </w:r>
      <w:r w:rsidR="00CA675D">
        <w:rPr>
          <w:rFonts w:ascii="Arial" w:hAnsi="Arial" w:cs="Arial"/>
        </w:rPr>
        <w:t>ibrutinib</w:t>
      </w:r>
      <w:r>
        <w:rPr>
          <w:rFonts w:ascii="Arial" w:hAnsi="Arial" w:cs="Arial"/>
        </w:rPr>
        <w:t xml:space="preserve"> following administration of specific dosage.</w:t>
      </w:r>
    </w:p>
    <w:p w14:paraId="3A690E74" w14:textId="77777777" w:rsidR="00AB772C" w:rsidRDefault="00AB772C" w:rsidP="00AB772C">
      <w:pPr>
        <w:rPr>
          <w:rFonts w:ascii="Arial" w:hAnsi="Arial" w:cs="Arial"/>
        </w:rPr>
      </w:pPr>
      <w:r w:rsidRPr="008317D2">
        <w:rPr>
          <w:rFonts w:ascii="Arial" w:hAnsi="Arial" w:cs="Arial"/>
        </w:rPr>
        <w:lastRenderedPageBreak/>
        <w:t>Risk Model Development:</w:t>
      </w:r>
      <w:r>
        <w:rPr>
          <w:rFonts w:ascii="Arial" w:hAnsi="Arial" w:cs="Arial"/>
        </w:rPr>
        <w:t xml:space="preserve"> </w:t>
      </w:r>
      <w:r w:rsidRPr="00C724FD">
        <w:rPr>
          <w:rFonts w:ascii="Arial" w:hAnsi="Arial" w:cs="Arial"/>
        </w:rPr>
        <w:t xml:space="preserve">A logistic regression risk prediction model for </w:t>
      </w:r>
      <w:r>
        <w:rPr>
          <w:rFonts w:ascii="Arial" w:hAnsi="Arial" w:cs="Arial"/>
        </w:rPr>
        <w:t>response</w:t>
      </w:r>
      <w:r w:rsidRPr="00C724FD">
        <w:rPr>
          <w:rFonts w:ascii="Arial" w:hAnsi="Arial" w:cs="Arial"/>
        </w:rPr>
        <w:t xml:space="preserve"> </w:t>
      </w:r>
      <w:r>
        <w:rPr>
          <w:rFonts w:ascii="Arial" w:hAnsi="Arial" w:cs="Arial"/>
        </w:rPr>
        <w:t>will be developed</w:t>
      </w:r>
      <w:r w:rsidRPr="00C724FD">
        <w:rPr>
          <w:rFonts w:ascii="Arial" w:hAnsi="Arial" w:cs="Arial"/>
        </w:rPr>
        <w:t xml:space="preserve"> </w:t>
      </w:r>
      <w:r>
        <w:rPr>
          <w:rFonts w:ascii="Arial" w:hAnsi="Arial" w:cs="Arial"/>
        </w:rPr>
        <w:t xml:space="preserve">involving multiple potential </w:t>
      </w:r>
      <w:r w:rsidRPr="00C724FD">
        <w:rPr>
          <w:rFonts w:ascii="Arial" w:hAnsi="Arial" w:cs="Arial"/>
        </w:rPr>
        <w:t>risk predictors</w:t>
      </w:r>
      <w:r>
        <w:rPr>
          <w:rFonts w:ascii="Arial" w:hAnsi="Arial" w:cs="Arial"/>
        </w:rPr>
        <w:t xml:space="preserve"> to compute a risk score for each individual. </w:t>
      </w:r>
    </w:p>
    <w:p w14:paraId="6B5C3FB2" w14:textId="09C718C6" w:rsidR="00AB772C" w:rsidRPr="008317D2" w:rsidRDefault="00AB772C" w:rsidP="00AB772C">
      <w:pPr>
        <w:rPr>
          <w:rFonts w:ascii="Arial" w:hAnsi="Arial" w:cs="Arial"/>
        </w:rPr>
      </w:pPr>
      <w:r>
        <w:rPr>
          <w:rFonts w:ascii="Arial" w:hAnsi="Arial" w:cs="Arial"/>
        </w:rPr>
        <w:t xml:space="preserve">Effect Model Development: A causal forest model will be developed using </w:t>
      </w:r>
      <w:r w:rsidR="00656DA2">
        <w:rPr>
          <w:rFonts w:ascii="Arial" w:hAnsi="Arial" w:cs="Arial"/>
        </w:rPr>
        <w:t>randomly selected</w:t>
      </w:r>
      <w:r>
        <w:rPr>
          <w:rFonts w:ascii="Arial" w:hAnsi="Arial" w:cs="Arial"/>
        </w:rPr>
        <w:t xml:space="preserve"> half dataset to predict the treatment effect based on multiple characteristics. </w:t>
      </w:r>
    </w:p>
    <w:p w14:paraId="4D047B69" w14:textId="77777777" w:rsidR="00AB772C" w:rsidRPr="008317D2" w:rsidRDefault="00AB772C" w:rsidP="00AB772C">
      <w:pPr>
        <w:rPr>
          <w:rFonts w:ascii="Arial" w:hAnsi="Arial" w:cs="Arial"/>
        </w:rPr>
      </w:pPr>
      <w:r w:rsidRPr="008317D2">
        <w:rPr>
          <w:rFonts w:ascii="Arial" w:hAnsi="Arial" w:cs="Arial"/>
        </w:rPr>
        <w:t>Subgroup Stratification:</w:t>
      </w:r>
      <w:r>
        <w:rPr>
          <w:rFonts w:ascii="Arial" w:hAnsi="Arial" w:cs="Arial"/>
        </w:rPr>
        <w:t xml:space="preserve"> </w:t>
      </w:r>
      <w:r w:rsidRPr="008317D2">
        <w:rPr>
          <w:rFonts w:ascii="Arial" w:hAnsi="Arial" w:cs="Arial"/>
        </w:rPr>
        <w:t xml:space="preserve">Patients will be stratified into subgroups based on </w:t>
      </w:r>
      <w:r>
        <w:rPr>
          <w:rFonts w:ascii="Arial" w:hAnsi="Arial" w:cs="Arial"/>
        </w:rPr>
        <w:t>varying levels of</w:t>
      </w:r>
      <w:r w:rsidRPr="008317D2">
        <w:rPr>
          <w:rFonts w:ascii="Arial" w:hAnsi="Arial" w:cs="Arial"/>
        </w:rPr>
        <w:t xml:space="preserve"> risk scores</w:t>
      </w:r>
      <w:r>
        <w:rPr>
          <w:rFonts w:ascii="Arial" w:hAnsi="Arial" w:cs="Arial"/>
        </w:rPr>
        <w:t xml:space="preserve"> or predicted treatment effects</w:t>
      </w:r>
      <w:r w:rsidRPr="008317D2">
        <w:rPr>
          <w:rFonts w:ascii="Arial" w:hAnsi="Arial" w:cs="Arial"/>
        </w:rPr>
        <w:t xml:space="preserve">. </w:t>
      </w:r>
    </w:p>
    <w:p w14:paraId="3FFF4CC7" w14:textId="147E8B6F" w:rsidR="00AB772C" w:rsidRPr="008317D2" w:rsidRDefault="00AB772C" w:rsidP="00AB772C">
      <w:pPr>
        <w:rPr>
          <w:rFonts w:ascii="Arial" w:hAnsi="Arial" w:cs="Arial"/>
        </w:rPr>
      </w:pPr>
      <w:r>
        <w:rPr>
          <w:rFonts w:ascii="Arial" w:hAnsi="Arial" w:cs="Arial"/>
        </w:rPr>
        <w:t>Dose</w:t>
      </w:r>
      <w:r w:rsidRPr="008317D2">
        <w:rPr>
          <w:rFonts w:ascii="Arial" w:hAnsi="Arial" w:cs="Arial"/>
        </w:rPr>
        <w:t>-Response Analysis:</w:t>
      </w:r>
      <w:r>
        <w:rPr>
          <w:rFonts w:ascii="Arial" w:hAnsi="Arial" w:cs="Arial"/>
        </w:rPr>
        <w:t xml:space="preserve"> </w:t>
      </w:r>
      <w:r w:rsidRPr="008317D2">
        <w:rPr>
          <w:rFonts w:ascii="Arial" w:hAnsi="Arial" w:cs="Arial"/>
        </w:rPr>
        <w:t xml:space="preserve">The primary focus of this research is to investigate the </w:t>
      </w:r>
      <w:r>
        <w:rPr>
          <w:rFonts w:ascii="Arial" w:hAnsi="Arial" w:cs="Arial"/>
        </w:rPr>
        <w:t>dose</w:t>
      </w:r>
      <w:r w:rsidRPr="008317D2">
        <w:rPr>
          <w:rFonts w:ascii="Arial" w:hAnsi="Arial" w:cs="Arial"/>
        </w:rPr>
        <w:t xml:space="preserve">-response relationship of </w:t>
      </w:r>
      <w:r w:rsidR="00670EFD">
        <w:rPr>
          <w:rFonts w:ascii="Arial" w:hAnsi="Arial" w:cs="Arial"/>
        </w:rPr>
        <w:t>ibrutinib</w:t>
      </w:r>
      <w:r w:rsidRPr="008317D2">
        <w:rPr>
          <w:rFonts w:ascii="Arial" w:hAnsi="Arial" w:cs="Arial"/>
        </w:rPr>
        <w:t xml:space="preserve"> within defined subgroups. </w:t>
      </w:r>
      <w:r>
        <w:rPr>
          <w:rFonts w:ascii="Arial" w:hAnsi="Arial" w:cs="Arial"/>
        </w:rPr>
        <w:t>Logistic</w:t>
      </w:r>
      <w:r w:rsidRPr="008317D2">
        <w:rPr>
          <w:rFonts w:ascii="Arial" w:hAnsi="Arial" w:cs="Arial"/>
        </w:rPr>
        <w:t xml:space="preserve"> regression analyses</w:t>
      </w:r>
      <w:r>
        <w:rPr>
          <w:rFonts w:ascii="Arial" w:hAnsi="Arial" w:cs="Arial"/>
        </w:rPr>
        <w:t xml:space="preserve"> </w:t>
      </w:r>
      <w:r w:rsidRPr="008317D2">
        <w:rPr>
          <w:rFonts w:ascii="Arial" w:hAnsi="Arial" w:cs="Arial"/>
        </w:rPr>
        <w:t xml:space="preserve">will be employed to evaluate the relationship between </w:t>
      </w:r>
      <w:r w:rsidR="00AF6E95">
        <w:rPr>
          <w:rFonts w:ascii="Arial" w:hAnsi="Arial" w:cs="Arial"/>
        </w:rPr>
        <w:t>ibrutinib</w:t>
      </w:r>
      <w:r w:rsidRPr="008317D2">
        <w:rPr>
          <w:rFonts w:ascii="Arial" w:hAnsi="Arial" w:cs="Arial"/>
        </w:rPr>
        <w:t xml:space="preserve"> exposure (predicted </w:t>
      </w:r>
      <w:r>
        <w:rPr>
          <w:rFonts w:ascii="Arial" w:hAnsi="Arial" w:cs="Arial"/>
        </w:rPr>
        <w:t xml:space="preserve">by </w:t>
      </w:r>
      <w:r w:rsidRPr="008317D2">
        <w:rPr>
          <w:rFonts w:ascii="Arial" w:hAnsi="Arial" w:cs="Arial"/>
        </w:rPr>
        <w:t xml:space="preserve">the popPK model) and patient </w:t>
      </w:r>
      <w:r w:rsidR="00656DA2" w:rsidRPr="008317D2">
        <w:rPr>
          <w:rFonts w:ascii="Arial" w:hAnsi="Arial" w:cs="Arial"/>
        </w:rPr>
        <w:t>response.</w:t>
      </w:r>
      <w:r w:rsidRPr="008317D2">
        <w:rPr>
          <w:rFonts w:ascii="Arial" w:hAnsi="Arial" w:cs="Arial"/>
        </w:rPr>
        <w:t xml:space="preserve"> </w:t>
      </w:r>
    </w:p>
    <w:p w14:paraId="40313BC5" w14:textId="77777777" w:rsidR="00AB772C" w:rsidRDefault="00AB772C" w:rsidP="00AB772C">
      <w:pPr>
        <w:rPr>
          <w:rFonts w:ascii="Arial" w:hAnsi="Arial" w:cs="Arial"/>
        </w:rPr>
      </w:pPr>
    </w:p>
    <w:p w14:paraId="3BCEC75D" w14:textId="77777777" w:rsidR="00AB772C" w:rsidRPr="00757B3B" w:rsidRDefault="00AB772C" w:rsidP="00AB772C">
      <w:pPr>
        <w:rPr>
          <w:rFonts w:ascii="Arial" w:hAnsi="Arial" w:cs="Arial"/>
          <w:b/>
          <w:bCs/>
        </w:rPr>
      </w:pPr>
      <w:r w:rsidRPr="00757B3B">
        <w:rPr>
          <w:rFonts w:ascii="Arial" w:hAnsi="Arial" w:cs="Arial"/>
          <w:b/>
          <w:bCs/>
        </w:rPr>
        <w:t>Project Timeline:</w:t>
      </w:r>
    </w:p>
    <w:p w14:paraId="06C3099D" w14:textId="77777777" w:rsidR="00AB772C" w:rsidRPr="00F21AE7" w:rsidRDefault="00AB772C" w:rsidP="00AB772C">
      <w:pPr>
        <w:rPr>
          <w:rFonts w:ascii="Arial" w:hAnsi="Arial" w:cs="Arial"/>
        </w:rPr>
      </w:pPr>
      <w:r w:rsidRPr="00757B3B">
        <w:rPr>
          <w:rFonts w:ascii="Arial" w:hAnsi="Arial" w:cs="Arial"/>
        </w:rPr>
        <w:t>The project is expected to take 1 year from the date of data access. Estimated start date 1 January 202</w:t>
      </w:r>
      <w:r>
        <w:rPr>
          <w:rFonts w:ascii="Arial" w:hAnsi="Arial" w:cs="Arial"/>
        </w:rPr>
        <w:t>4</w:t>
      </w:r>
      <w:r w:rsidRPr="00757B3B">
        <w:rPr>
          <w:rFonts w:ascii="Arial" w:hAnsi="Arial" w:cs="Arial"/>
        </w:rPr>
        <w:t xml:space="preserve"> with all analysis completed by 1 January 202</w:t>
      </w:r>
      <w:r>
        <w:rPr>
          <w:rFonts w:ascii="Arial" w:hAnsi="Arial" w:cs="Arial"/>
        </w:rPr>
        <w:t>5</w:t>
      </w:r>
      <w:r w:rsidRPr="00757B3B">
        <w:rPr>
          <w:rFonts w:ascii="Arial" w:hAnsi="Arial" w:cs="Arial"/>
        </w:rPr>
        <w:t>. Manuscripts will be drafted and submitted</w:t>
      </w:r>
      <w:r>
        <w:rPr>
          <w:rFonts w:ascii="Arial" w:hAnsi="Arial" w:cs="Arial"/>
        </w:rPr>
        <w:t xml:space="preserve"> after</w:t>
      </w:r>
      <w:r w:rsidRPr="00757B3B">
        <w:rPr>
          <w:rFonts w:ascii="Arial" w:hAnsi="Arial" w:cs="Arial"/>
        </w:rPr>
        <w:t xml:space="preserve"> </w:t>
      </w:r>
      <w:r>
        <w:rPr>
          <w:rFonts w:ascii="Arial" w:hAnsi="Arial" w:cs="Arial"/>
        </w:rPr>
        <w:t>completion of the proposed project</w:t>
      </w:r>
      <w:r w:rsidRPr="00757B3B">
        <w:rPr>
          <w:rFonts w:ascii="Arial" w:hAnsi="Arial" w:cs="Arial"/>
        </w:rPr>
        <w:t>. Results will be reported back to YODA following manuscript revisions and acceptance.</w:t>
      </w:r>
    </w:p>
    <w:p w14:paraId="035482D0" w14:textId="77777777" w:rsidR="00AB772C" w:rsidRDefault="00AB772C" w:rsidP="00AB772C">
      <w:pPr>
        <w:rPr>
          <w:rFonts w:ascii="Arial" w:hAnsi="Arial" w:cs="Arial"/>
        </w:rPr>
      </w:pPr>
    </w:p>
    <w:p w14:paraId="5C2B1092" w14:textId="77777777" w:rsidR="00AB772C" w:rsidRPr="004E0E80" w:rsidRDefault="00AB772C" w:rsidP="00AB772C">
      <w:pPr>
        <w:rPr>
          <w:rFonts w:ascii="Arial" w:hAnsi="Arial" w:cs="Arial"/>
          <w:b/>
          <w:bCs/>
        </w:rPr>
      </w:pPr>
      <w:bookmarkStart w:id="0" w:name="_GoBack"/>
      <w:r w:rsidRPr="004E0E80">
        <w:rPr>
          <w:rFonts w:ascii="Arial" w:hAnsi="Arial" w:cs="Arial"/>
          <w:b/>
          <w:bCs/>
        </w:rPr>
        <w:t>References</w:t>
      </w:r>
    </w:p>
    <w:p w14:paraId="395613D3" w14:textId="77777777" w:rsidR="001361BD" w:rsidRPr="001361BD" w:rsidRDefault="00CE00BD" w:rsidP="001361BD">
      <w:pPr>
        <w:pStyle w:val="Bibliography"/>
        <w:rPr>
          <w:rFonts w:ascii="Arial" w:hAnsi="Arial" w:cs="Arial"/>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001361BD" w:rsidRPr="001361BD">
        <w:rPr>
          <w:rFonts w:ascii="Arial" w:hAnsi="Arial" w:cs="Arial"/>
        </w:rPr>
        <w:t xml:space="preserve">1. </w:t>
      </w:r>
      <w:r w:rsidR="001361BD" w:rsidRPr="001361BD">
        <w:rPr>
          <w:rFonts w:ascii="Arial" w:hAnsi="Arial" w:cs="Arial"/>
        </w:rPr>
        <w:tab/>
        <w:t xml:space="preserve">Gong X, Hu M, Basu M, Zhao L. Heterogeneous treatment effect analysis based on machine-learning methodology. </w:t>
      </w:r>
      <w:r w:rsidR="001361BD" w:rsidRPr="001361BD">
        <w:rPr>
          <w:rFonts w:ascii="Arial" w:hAnsi="Arial" w:cs="Arial"/>
          <w:i/>
          <w:iCs/>
        </w:rPr>
        <w:t>CPT: Pharmacometrics &amp; Systems Pharmacology</w:t>
      </w:r>
      <w:r w:rsidR="001361BD" w:rsidRPr="001361BD">
        <w:rPr>
          <w:rFonts w:ascii="Arial" w:hAnsi="Arial" w:cs="Arial"/>
        </w:rPr>
        <w:t>. 2021;10(11):1433-1443.</w:t>
      </w:r>
    </w:p>
    <w:p w14:paraId="36435860" w14:textId="77777777" w:rsidR="001361BD" w:rsidRPr="001361BD" w:rsidRDefault="001361BD" w:rsidP="001361BD">
      <w:pPr>
        <w:pStyle w:val="Bibliography"/>
        <w:rPr>
          <w:rFonts w:ascii="Arial" w:hAnsi="Arial" w:cs="Arial"/>
        </w:rPr>
      </w:pPr>
      <w:r w:rsidRPr="001361BD">
        <w:rPr>
          <w:rFonts w:ascii="Arial" w:hAnsi="Arial" w:cs="Arial"/>
        </w:rPr>
        <w:lastRenderedPageBreak/>
        <w:t xml:space="preserve">2. </w:t>
      </w:r>
      <w:r w:rsidRPr="001361BD">
        <w:rPr>
          <w:rFonts w:ascii="Arial" w:hAnsi="Arial" w:cs="Arial"/>
        </w:rPr>
        <w:tab/>
        <w:t>Munir T, Brown JR, O’Brien S, et al. Final analysis from RESONATE: Up to six years of follow</w:t>
      </w:r>
      <w:r w:rsidRPr="001361BD">
        <w:rPr>
          <w:rFonts w:ascii="Cambria Math" w:hAnsi="Cambria Math" w:cs="Cambria Math"/>
        </w:rPr>
        <w:t>‐</w:t>
      </w:r>
      <w:r w:rsidRPr="001361BD">
        <w:rPr>
          <w:rFonts w:ascii="Arial" w:hAnsi="Arial" w:cs="Arial"/>
        </w:rPr>
        <w:t xml:space="preserve">up on ibrutinib in patients with previously treated chronic lymphocytic leukemia or small lymphocytic lymphoma. </w:t>
      </w:r>
      <w:r w:rsidRPr="001361BD">
        <w:rPr>
          <w:rFonts w:ascii="Arial" w:hAnsi="Arial" w:cs="Arial"/>
          <w:i/>
          <w:iCs/>
        </w:rPr>
        <w:t>Am J Hematol</w:t>
      </w:r>
      <w:r w:rsidRPr="001361BD">
        <w:rPr>
          <w:rFonts w:ascii="Arial" w:hAnsi="Arial" w:cs="Arial"/>
        </w:rPr>
        <w:t>. 2019;94(12):1353-1363.</w:t>
      </w:r>
    </w:p>
    <w:p w14:paraId="50A222BB" w14:textId="77777777" w:rsidR="001361BD" w:rsidRPr="001361BD" w:rsidRDefault="001361BD" w:rsidP="001361BD">
      <w:pPr>
        <w:pStyle w:val="Bibliography"/>
        <w:rPr>
          <w:rFonts w:ascii="Arial" w:hAnsi="Arial" w:cs="Arial"/>
        </w:rPr>
      </w:pPr>
      <w:r w:rsidRPr="001361BD">
        <w:rPr>
          <w:rFonts w:ascii="Arial" w:hAnsi="Arial" w:cs="Arial"/>
        </w:rPr>
        <w:t xml:space="preserve">3. </w:t>
      </w:r>
      <w:r w:rsidRPr="001361BD">
        <w:rPr>
          <w:rFonts w:ascii="Arial" w:hAnsi="Arial" w:cs="Arial"/>
        </w:rPr>
        <w:tab/>
        <w:t xml:space="preserve">Goligher EC, Lawler PR, Jensen TP, et al. Heterogeneous Treatment Effects of Therapeutic-Dose Heparin in Patients Hospitalized for COVID-19. </w:t>
      </w:r>
      <w:r w:rsidRPr="001361BD">
        <w:rPr>
          <w:rFonts w:ascii="Arial" w:hAnsi="Arial" w:cs="Arial"/>
          <w:i/>
          <w:iCs/>
        </w:rPr>
        <w:t>JAMA</w:t>
      </w:r>
      <w:r w:rsidRPr="001361BD">
        <w:rPr>
          <w:rFonts w:ascii="Arial" w:hAnsi="Arial" w:cs="Arial"/>
        </w:rPr>
        <w:t>. 2023;329(13):1066.</w:t>
      </w:r>
    </w:p>
    <w:p w14:paraId="54188B20" w14:textId="11D10A97" w:rsidR="00AB772C" w:rsidRPr="00F21AE7" w:rsidRDefault="00CE00BD" w:rsidP="00AB772C">
      <w:pPr>
        <w:rPr>
          <w:rFonts w:ascii="Arial" w:hAnsi="Arial" w:cs="Arial"/>
        </w:rPr>
      </w:pPr>
      <w:r>
        <w:rPr>
          <w:rFonts w:ascii="Arial" w:hAnsi="Arial" w:cs="Arial"/>
        </w:rPr>
        <w:fldChar w:fldCharType="end"/>
      </w:r>
      <w:bookmarkEnd w:id="0"/>
    </w:p>
    <w:p w14:paraId="0F7F4E08" w14:textId="77777777" w:rsidR="00967D89" w:rsidRDefault="00967D89"/>
    <w:sectPr w:rsidR="00967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4829"/>
    <w:multiLevelType w:val="hybridMultilevel"/>
    <w:tmpl w:val="1678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43478"/>
    <w:multiLevelType w:val="hybridMultilevel"/>
    <w:tmpl w:val="89AE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10505"/>
    <w:multiLevelType w:val="hybridMultilevel"/>
    <w:tmpl w:val="16786E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85"/>
    <w:rsid w:val="00034B67"/>
    <w:rsid w:val="000371E4"/>
    <w:rsid w:val="00083F95"/>
    <w:rsid w:val="000F7F60"/>
    <w:rsid w:val="00101278"/>
    <w:rsid w:val="00105A17"/>
    <w:rsid w:val="00114D43"/>
    <w:rsid w:val="00123C56"/>
    <w:rsid w:val="001361BD"/>
    <w:rsid w:val="001753AF"/>
    <w:rsid w:val="00195216"/>
    <w:rsid w:val="001B1E90"/>
    <w:rsid w:val="001C307A"/>
    <w:rsid w:val="002053FA"/>
    <w:rsid w:val="002332AB"/>
    <w:rsid w:val="00236003"/>
    <w:rsid w:val="00261418"/>
    <w:rsid w:val="00267FAE"/>
    <w:rsid w:val="0029231D"/>
    <w:rsid w:val="002A20E6"/>
    <w:rsid w:val="002B28B8"/>
    <w:rsid w:val="002E6831"/>
    <w:rsid w:val="002F75F6"/>
    <w:rsid w:val="00315326"/>
    <w:rsid w:val="00331A57"/>
    <w:rsid w:val="00354CAF"/>
    <w:rsid w:val="00362F12"/>
    <w:rsid w:val="003671FB"/>
    <w:rsid w:val="00372169"/>
    <w:rsid w:val="00382435"/>
    <w:rsid w:val="00382F94"/>
    <w:rsid w:val="0039142D"/>
    <w:rsid w:val="00392DC0"/>
    <w:rsid w:val="003C160C"/>
    <w:rsid w:val="003E1772"/>
    <w:rsid w:val="003E7460"/>
    <w:rsid w:val="004046CB"/>
    <w:rsid w:val="00405768"/>
    <w:rsid w:val="00423D1F"/>
    <w:rsid w:val="0045548D"/>
    <w:rsid w:val="00477EAA"/>
    <w:rsid w:val="00492B4C"/>
    <w:rsid w:val="004D4761"/>
    <w:rsid w:val="004E0933"/>
    <w:rsid w:val="004E0E80"/>
    <w:rsid w:val="00521AA5"/>
    <w:rsid w:val="00523645"/>
    <w:rsid w:val="00560577"/>
    <w:rsid w:val="00563EAA"/>
    <w:rsid w:val="00582683"/>
    <w:rsid w:val="00584E6F"/>
    <w:rsid w:val="005A7826"/>
    <w:rsid w:val="005C78A4"/>
    <w:rsid w:val="005D59DC"/>
    <w:rsid w:val="00605F59"/>
    <w:rsid w:val="00623974"/>
    <w:rsid w:val="00656DA2"/>
    <w:rsid w:val="00670EFD"/>
    <w:rsid w:val="00695701"/>
    <w:rsid w:val="006C06D8"/>
    <w:rsid w:val="006D511B"/>
    <w:rsid w:val="006F6A70"/>
    <w:rsid w:val="007012A9"/>
    <w:rsid w:val="00701B77"/>
    <w:rsid w:val="007119B5"/>
    <w:rsid w:val="00730511"/>
    <w:rsid w:val="0075683D"/>
    <w:rsid w:val="00783A79"/>
    <w:rsid w:val="00794AD3"/>
    <w:rsid w:val="007B3804"/>
    <w:rsid w:val="007E3D07"/>
    <w:rsid w:val="0080789F"/>
    <w:rsid w:val="00825D0D"/>
    <w:rsid w:val="00841DB3"/>
    <w:rsid w:val="008601FD"/>
    <w:rsid w:val="008620EF"/>
    <w:rsid w:val="008628C2"/>
    <w:rsid w:val="00867501"/>
    <w:rsid w:val="008960A3"/>
    <w:rsid w:val="008A1EAC"/>
    <w:rsid w:val="008F23AF"/>
    <w:rsid w:val="00917AD1"/>
    <w:rsid w:val="009210D4"/>
    <w:rsid w:val="00964900"/>
    <w:rsid w:val="00967D89"/>
    <w:rsid w:val="009855DE"/>
    <w:rsid w:val="009A41C3"/>
    <w:rsid w:val="009C5CEC"/>
    <w:rsid w:val="009C7175"/>
    <w:rsid w:val="00A23587"/>
    <w:rsid w:val="00A42A67"/>
    <w:rsid w:val="00A64EBC"/>
    <w:rsid w:val="00A7215C"/>
    <w:rsid w:val="00A759A0"/>
    <w:rsid w:val="00A8457B"/>
    <w:rsid w:val="00AB1ECE"/>
    <w:rsid w:val="00AB7576"/>
    <w:rsid w:val="00AB772C"/>
    <w:rsid w:val="00AD2C2B"/>
    <w:rsid w:val="00AE4C4F"/>
    <w:rsid w:val="00AE5A31"/>
    <w:rsid w:val="00AF6E95"/>
    <w:rsid w:val="00B109C5"/>
    <w:rsid w:val="00B12D84"/>
    <w:rsid w:val="00B248AA"/>
    <w:rsid w:val="00B474CD"/>
    <w:rsid w:val="00B57CF1"/>
    <w:rsid w:val="00B60C6F"/>
    <w:rsid w:val="00B95218"/>
    <w:rsid w:val="00BB7553"/>
    <w:rsid w:val="00BC2C5A"/>
    <w:rsid w:val="00BE22A1"/>
    <w:rsid w:val="00BF0CEA"/>
    <w:rsid w:val="00C01971"/>
    <w:rsid w:val="00C25709"/>
    <w:rsid w:val="00C27684"/>
    <w:rsid w:val="00C65266"/>
    <w:rsid w:val="00C74B60"/>
    <w:rsid w:val="00CA675D"/>
    <w:rsid w:val="00CB2E86"/>
    <w:rsid w:val="00CB66A6"/>
    <w:rsid w:val="00CC3ED4"/>
    <w:rsid w:val="00CD1BBC"/>
    <w:rsid w:val="00CE00BD"/>
    <w:rsid w:val="00CF168A"/>
    <w:rsid w:val="00D1131E"/>
    <w:rsid w:val="00D57C98"/>
    <w:rsid w:val="00DC5C73"/>
    <w:rsid w:val="00DC7F34"/>
    <w:rsid w:val="00E05885"/>
    <w:rsid w:val="00E30269"/>
    <w:rsid w:val="00E61344"/>
    <w:rsid w:val="00E940C7"/>
    <w:rsid w:val="00EC095B"/>
    <w:rsid w:val="00ED55BE"/>
    <w:rsid w:val="00EE01F1"/>
    <w:rsid w:val="00F0162F"/>
    <w:rsid w:val="00F14CFE"/>
    <w:rsid w:val="00F176CF"/>
    <w:rsid w:val="00F23E9C"/>
    <w:rsid w:val="00F26276"/>
    <w:rsid w:val="00F803D2"/>
    <w:rsid w:val="00F915F5"/>
    <w:rsid w:val="00F91EC0"/>
    <w:rsid w:val="00F936AD"/>
    <w:rsid w:val="00FC2E02"/>
    <w:rsid w:val="00FE780B"/>
    <w:rsid w:val="00FF3D8D"/>
    <w:rsid w:val="00FF75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7A60"/>
  <w15:chartTrackingRefBased/>
  <w15:docId w15:val="{B8895F4F-A70E-477A-A85E-65946C07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ogodog">
    <w:name w:val="gogodog"/>
    <w:basedOn w:val="TableNormal"/>
    <w:uiPriority w:val="99"/>
    <w:rsid w:val="00F176CF"/>
    <w:pPr>
      <w:spacing w:after="0" w:line="240" w:lineRule="auto"/>
    </w:pPr>
    <w:rPr>
      <w:rFonts w:ascii="Arial" w:hAnsi="Arial"/>
    </w:rPr>
    <w:tblPr>
      <w:tblBorders>
        <w:bottom w:val="single" w:sz="8" w:space="0" w:color="auto"/>
      </w:tblBorders>
    </w:tblPr>
    <w:trPr>
      <w:cantSplit/>
    </w:trPr>
    <w:tcPr>
      <w:vAlign w:val="center"/>
    </w:tcPr>
    <w:tblStylePr w:type="firstRow">
      <w:rPr>
        <w:b/>
      </w:rPr>
      <w:tblPr/>
      <w:tcPr>
        <w:tcBorders>
          <w:top w:val="single" w:sz="8" w:space="0" w:color="auto"/>
          <w:bottom w:val="single" w:sz="8" w:space="0" w:color="auto"/>
        </w:tcBorders>
      </w:tcPr>
    </w:tblStylePr>
  </w:style>
  <w:style w:type="paragraph" w:styleId="Bibliography">
    <w:name w:val="Bibliography"/>
    <w:basedOn w:val="Normal"/>
    <w:next w:val="Normal"/>
    <w:uiPriority w:val="37"/>
    <w:unhideWhenUsed/>
    <w:rsid w:val="00AB772C"/>
    <w:pPr>
      <w:tabs>
        <w:tab w:val="left" w:pos="384"/>
      </w:tabs>
      <w:spacing w:after="240" w:line="240" w:lineRule="auto"/>
      <w:ind w:left="384" w:hanging="384"/>
    </w:pPr>
  </w:style>
  <w:style w:type="paragraph" w:styleId="ListParagraph">
    <w:name w:val="List Paragraph"/>
    <w:basedOn w:val="Normal"/>
    <w:uiPriority w:val="34"/>
    <w:qFormat/>
    <w:rsid w:val="00AB772C"/>
    <w:pPr>
      <w:ind w:left="720"/>
      <w:contextualSpacing/>
    </w:pPr>
  </w:style>
  <w:style w:type="character" w:styleId="CommentReference">
    <w:name w:val="annotation reference"/>
    <w:basedOn w:val="DefaultParagraphFont"/>
    <w:uiPriority w:val="99"/>
    <w:semiHidden/>
    <w:unhideWhenUsed/>
    <w:rsid w:val="00AB772C"/>
    <w:rPr>
      <w:sz w:val="16"/>
      <w:szCs w:val="16"/>
    </w:rPr>
  </w:style>
  <w:style w:type="paragraph" w:styleId="CommentText">
    <w:name w:val="annotation text"/>
    <w:basedOn w:val="Normal"/>
    <w:link w:val="CommentTextChar"/>
    <w:uiPriority w:val="99"/>
    <w:semiHidden/>
    <w:unhideWhenUsed/>
    <w:rsid w:val="00AB772C"/>
    <w:pPr>
      <w:spacing w:line="240" w:lineRule="auto"/>
    </w:pPr>
    <w:rPr>
      <w:sz w:val="20"/>
      <w:szCs w:val="20"/>
    </w:rPr>
  </w:style>
  <w:style w:type="character" w:customStyle="1" w:styleId="CommentTextChar">
    <w:name w:val="Comment Text Char"/>
    <w:basedOn w:val="DefaultParagraphFont"/>
    <w:link w:val="CommentText"/>
    <w:uiPriority w:val="99"/>
    <w:semiHidden/>
    <w:rsid w:val="00AB772C"/>
    <w:rPr>
      <w:sz w:val="20"/>
      <w:szCs w:val="20"/>
    </w:rPr>
  </w:style>
  <w:style w:type="paragraph" w:styleId="Revision">
    <w:name w:val="Revision"/>
    <w:hidden/>
    <w:uiPriority w:val="99"/>
    <w:semiHidden/>
    <w:rsid w:val="00F91EC0"/>
    <w:pPr>
      <w:spacing w:after="0" w:line="240" w:lineRule="auto"/>
    </w:pPr>
  </w:style>
  <w:style w:type="paragraph" w:styleId="BalloonText">
    <w:name w:val="Balloon Text"/>
    <w:basedOn w:val="Normal"/>
    <w:link w:val="BalloonTextChar"/>
    <w:uiPriority w:val="99"/>
    <w:semiHidden/>
    <w:unhideWhenUsed/>
    <w:rsid w:val="00A42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EFBF0ED02F04F9417A880C7DB6771" ma:contentTypeVersion="13" ma:contentTypeDescription="Create a new document." ma:contentTypeScope="" ma:versionID="12be30705967dd40ca7cc989b736f15f">
  <xsd:schema xmlns:xsd="http://www.w3.org/2001/XMLSchema" xmlns:xs="http://www.w3.org/2001/XMLSchema" xmlns:p="http://schemas.microsoft.com/office/2006/metadata/properties" xmlns:ns2="204fa03c-d831-454b-bb05-494dbee29058" xmlns:ns3="3fa26a94-8730-4440-95b2-276f52da6b07" targetNamespace="http://schemas.microsoft.com/office/2006/metadata/properties" ma:root="true" ma:fieldsID="ab04d62bf0cdef9102d40c8db455b787" ns2:_="" ns3:_="">
    <xsd:import namespace="204fa03c-d831-454b-bb05-494dbee29058"/>
    <xsd:import namespace="3fa26a94-8730-4440-95b2-276f52da6b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fa03c-d831-454b-bb05-494dbee2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26a94-8730-4440-95b2-276f52da6b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e85c76-a150-49e8-90b4-7c403f3ecaef}" ma:internalName="TaxCatchAll" ma:showField="CatchAllData" ma:web="3fa26a94-8730-4440-95b2-276f52da6b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F7DCA-73B4-4B8F-B2BD-76512FCC0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fa03c-d831-454b-bb05-494dbee29058"/>
    <ds:schemaRef ds:uri="3fa26a94-8730-4440-95b2-276f52da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1038E-A216-4E5C-911E-9E5B3D428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Xiaozhi</dc:creator>
  <cp:keywords/>
  <dc:description/>
  <cp:lastModifiedBy>Yanguang Cao</cp:lastModifiedBy>
  <cp:revision>4</cp:revision>
  <dcterms:created xsi:type="dcterms:W3CDTF">2023-10-31T12:21:00Z</dcterms:created>
  <dcterms:modified xsi:type="dcterms:W3CDTF">2023-10-31T12:40:00Z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id="tBRrLIE2"/&gt;&lt;style id="http://www.zotero.org/styles/american-medical-association-no-url" hasBibliography="1" bibliographyStyleHasBeenSet="1"/&gt;&lt;prefs&gt;&lt;pref name="fieldType" value="Field"/&gt;&lt;/prefs&gt;&lt;</vt:lpwstr>
  </property>
  <property fmtid="{D5CDD505-2E9C-101B-9397-08002B2CF9AE}" pid="3" name="ZOTERO_PREF_2">
    <vt:lpwstr>/data&gt;</vt:lpwstr>
  </property>
  <property fmtid="{D5CDD505-2E9C-101B-9397-08002B2CF9AE}" pid="4" name="ContentTypeId">
    <vt:lpwstr>0x0101001E1EFBF0ED02F04F9417A880C7DB6771</vt:lpwstr>
  </property>
</Properties>
</file>