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EA24B" w14:textId="77777777" w:rsidR="008319B8" w:rsidRPr="00E63F7B" w:rsidRDefault="008319B8" w:rsidP="008319B8">
      <w:pPr>
        <w:spacing w:after="150"/>
        <w:rPr>
          <w:b/>
          <w:color w:val="000000"/>
          <w:u w:val="single"/>
        </w:rPr>
      </w:pPr>
      <w:r w:rsidRPr="00E63F7B">
        <w:rPr>
          <w:b/>
          <w:color w:val="000000"/>
          <w:u w:val="single"/>
        </w:rPr>
        <w:t>Variable list:</w:t>
      </w:r>
    </w:p>
    <w:tbl>
      <w:tblPr>
        <w:tblW w:w="8900" w:type="dxa"/>
        <w:tblInd w:w="-5" w:type="dxa"/>
        <w:tblLook w:val="04A0" w:firstRow="1" w:lastRow="0" w:firstColumn="1" w:lastColumn="0" w:noHBand="0" w:noVBand="1"/>
      </w:tblPr>
      <w:tblGrid>
        <w:gridCol w:w="2300"/>
        <w:gridCol w:w="2200"/>
        <w:gridCol w:w="2100"/>
        <w:gridCol w:w="2300"/>
      </w:tblGrid>
      <w:tr w:rsidR="008319B8" w:rsidRPr="006B3FCD" w14:paraId="698624DB" w14:textId="77777777" w:rsidTr="00C409B9">
        <w:trPr>
          <w:trHeight w:val="855"/>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4FA73" w14:textId="77777777" w:rsidR="008319B8" w:rsidRPr="006B3FCD" w:rsidRDefault="008319B8" w:rsidP="00C409B9">
            <w:pPr>
              <w:spacing w:after="0" w:line="240" w:lineRule="auto"/>
              <w:jc w:val="center"/>
              <w:rPr>
                <w:rFonts w:eastAsia="Times New Roman"/>
                <w:b/>
                <w:bCs/>
                <w:color w:val="000000"/>
              </w:rPr>
            </w:pPr>
            <w:r w:rsidRPr="006B3FCD">
              <w:rPr>
                <w:rFonts w:eastAsia="Times New Roman"/>
                <w:b/>
                <w:bCs/>
                <w:color w:val="000000"/>
              </w:rPr>
              <w:t>Variable Category</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3668FA80" w14:textId="77777777" w:rsidR="008319B8" w:rsidRPr="006B3FCD" w:rsidRDefault="008319B8" w:rsidP="00C409B9">
            <w:pPr>
              <w:spacing w:after="0" w:line="240" w:lineRule="auto"/>
              <w:jc w:val="center"/>
              <w:rPr>
                <w:rFonts w:eastAsia="Times New Roman"/>
                <w:b/>
                <w:bCs/>
                <w:color w:val="000000"/>
              </w:rPr>
            </w:pPr>
            <w:r w:rsidRPr="006B3FCD">
              <w:rPr>
                <w:rFonts w:eastAsia="Times New Roman"/>
                <w:b/>
                <w:bCs/>
                <w:color w:val="000000"/>
              </w:rPr>
              <w:t>CRD3001 (NCT01369329)</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745EC97A" w14:textId="77777777" w:rsidR="008319B8" w:rsidRPr="006B3FCD" w:rsidRDefault="008319B8" w:rsidP="00C409B9">
            <w:pPr>
              <w:spacing w:after="0" w:line="240" w:lineRule="auto"/>
              <w:jc w:val="center"/>
              <w:rPr>
                <w:rFonts w:eastAsia="Times New Roman"/>
                <w:b/>
                <w:bCs/>
                <w:color w:val="000000"/>
              </w:rPr>
            </w:pPr>
            <w:r w:rsidRPr="006B3FCD">
              <w:rPr>
                <w:rFonts w:eastAsia="Times New Roman"/>
                <w:b/>
                <w:bCs/>
                <w:color w:val="000000"/>
              </w:rPr>
              <w:t>CRD3002 (NCT01369342)</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73644A5F" w14:textId="77777777" w:rsidR="008319B8" w:rsidRPr="006B3FCD" w:rsidRDefault="008319B8" w:rsidP="00C409B9">
            <w:pPr>
              <w:spacing w:after="0" w:line="240" w:lineRule="auto"/>
              <w:jc w:val="center"/>
              <w:rPr>
                <w:rFonts w:eastAsia="Times New Roman"/>
                <w:b/>
                <w:bCs/>
                <w:color w:val="000000"/>
              </w:rPr>
            </w:pPr>
            <w:r w:rsidRPr="006B3FCD">
              <w:rPr>
                <w:rFonts w:eastAsia="Times New Roman"/>
                <w:b/>
                <w:bCs/>
                <w:color w:val="000000"/>
              </w:rPr>
              <w:t>CRD3003 (NCT01369355)</w:t>
            </w:r>
          </w:p>
        </w:tc>
      </w:tr>
      <w:tr w:rsidR="008319B8" w:rsidRPr="006B3FCD" w14:paraId="1BD90E1F" w14:textId="77777777" w:rsidTr="00C409B9">
        <w:trPr>
          <w:trHeight w:val="114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5A40D99F" w14:textId="77777777" w:rsidR="008319B8" w:rsidRPr="006B3FCD" w:rsidRDefault="008319B8" w:rsidP="00C409B9">
            <w:pPr>
              <w:spacing w:after="0" w:line="240" w:lineRule="auto"/>
              <w:rPr>
                <w:rFonts w:eastAsia="Times New Roman"/>
                <w:b/>
                <w:bCs/>
                <w:color w:val="000000"/>
              </w:rPr>
            </w:pPr>
            <w:r w:rsidRPr="006B3FCD">
              <w:rPr>
                <w:rFonts w:eastAsia="Times New Roman"/>
                <w:b/>
                <w:bCs/>
                <w:color w:val="000000"/>
              </w:rPr>
              <w:t>Demographics</w:t>
            </w:r>
          </w:p>
        </w:tc>
        <w:tc>
          <w:tcPr>
            <w:tcW w:w="2200" w:type="dxa"/>
            <w:tcBorders>
              <w:top w:val="nil"/>
              <w:left w:val="nil"/>
              <w:bottom w:val="single" w:sz="4" w:space="0" w:color="auto"/>
              <w:right w:val="single" w:sz="4" w:space="0" w:color="auto"/>
            </w:tcBorders>
            <w:shd w:val="clear" w:color="auto" w:fill="auto"/>
            <w:vAlign w:val="center"/>
            <w:hideMark/>
          </w:tcPr>
          <w:p w14:paraId="04E99077"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AGE, SEX, RACE, ETHNIC, ARMCD, ACTARM, STUDYID, DUSUBJID</w:t>
            </w:r>
          </w:p>
        </w:tc>
        <w:tc>
          <w:tcPr>
            <w:tcW w:w="2100" w:type="dxa"/>
            <w:tcBorders>
              <w:top w:val="nil"/>
              <w:left w:val="nil"/>
              <w:bottom w:val="single" w:sz="4" w:space="0" w:color="auto"/>
              <w:right w:val="single" w:sz="4" w:space="0" w:color="auto"/>
            </w:tcBorders>
            <w:shd w:val="clear" w:color="auto" w:fill="auto"/>
            <w:vAlign w:val="center"/>
            <w:hideMark/>
          </w:tcPr>
          <w:p w14:paraId="0F57E7B2"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AGE, SEX, RACE, ETHNIC, ARMCD, ACTARM, STUDYID, DUSUBJID</w:t>
            </w:r>
          </w:p>
        </w:tc>
        <w:tc>
          <w:tcPr>
            <w:tcW w:w="2300" w:type="dxa"/>
            <w:tcBorders>
              <w:top w:val="nil"/>
              <w:left w:val="nil"/>
              <w:bottom w:val="single" w:sz="4" w:space="0" w:color="auto"/>
              <w:right w:val="single" w:sz="4" w:space="0" w:color="auto"/>
            </w:tcBorders>
            <w:shd w:val="clear" w:color="auto" w:fill="auto"/>
            <w:vAlign w:val="center"/>
            <w:hideMark/>
          </w:tcPr>
          <w:p w14:paraId="3A604F90"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AGE, SEX, RACE, ETHNIC, ARMCD, ACTARM, STUDYID, DUSUBJID</w:t>
            </w:r>
          </w:p>
        </w:tc>
      </w:tr>
      <w:tr w:rsidR="008319B8" w:rsidRPr="006B3FCD" w14:paraId="220A51C4" w14:textId="77777777" w:rsidTr="00C409B9">
        <w:trPr>
          <w:trHeight w:val="57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70FF87B0" w14:textId="77777777" w:rsidR="008319B8" w:rsidRPr="006B3FCD" w:rsidRDefault="008319B8" w:rsidP="00C409B9">
            <w:pPr>
              <w:spacing w:after="0" w:line="240" w:lineRule="auto"/>
              <w:rPr>
                <w:rFonts w:eastAsia="Times New Roman"/>
                <w:b/>
                <w:bCs/>
                <w:color w:val="000000"/>
              </w:rPr>
            </w:pPr>
            <w:r w:rsidRPr="006B3FCD">
              <w:rPr>
                <w:rFonts w:eastAsia="Times New Roman"/>
                <w:b/>
                <w:bCs/>
                <w:color w:val="000000"/>
              </w:rPr>
              <w:t>Disposition (Enrollment/Dropout)</w:t>
            </w:r>
          </w:p>
        </w:tc>
        <w:tc>
          <w:tcPr>
            <w:tcW w:w="2200" w:type="dxa"/>
            <w:tcBorders>
              <w:top w:val="nil"/>
              <w:left w:val="nil"/>
              <w:bottom w:val="single" w:sz="4" w:space="0" w:color="auto"/>
              <w:right w:val="single" w:sz="4" w:space="0" w:color="auto"/>
            </w:tcBorders>
            <w:shd w:val="clear" w:color="auto" w:fill="auto"/>
            <w:vAlign w:val="center"/>
            <w:hideMark/>
          </w:tcPr>
          <w:p w14:paraId="16054F45"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DSDECOD, DSSEQ, DSSTDY, DSCAT</w:t>
            </w:r>
          </w:p>
        </w:tc>
        <w:tc>
          <w:tcPr>
            <w:tcW w:w="2100" w:type="dxa"/>
            <w:tcBorders>
              <w:top w:val="nil"/>
              <w:left w:val="nil"/>
              <w:bottom w:val="single" w:sz="4" w:space="0" w:color="auto"/>
              <w:right w:val="single" w:sz="4" w:space="0" w:color="auto"/>
            </w:tcBorders>
            <w:shd w:val="clear" w:color="auto" w:fill="auto"/>
            <w:vAlign w:val="center"/>
            <w:hideMark/>
          </w:tcPr>
          <w:p w14:paraId="64BEC5EF"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DSDECOD, DSSEQ, DSSTDY, DSCAT</w:t>
            </w:r>
          </w:p>
        </w:tc>
        <w:tc>
          <w:tcPr>
            <w:tcW w:w="2300" w:type="dxa"/>
            <w:tcBorders>
              <w:top w:val="nil"/>
              <w:left w:val="nil"/>
              <w:bottom w:val="single" w:sz="4" w:space="0" w:color="auto"/>
              <w:right w:val="single" w:sz="4" w:space="0" w:color="auto"/>
            </w:tcBorders>
            <w:shd w:val="clear" w:color="auto" w:fill="auto"/>
            <w:vAlign w:val="center"/>
            <w:hideMark/>
          </w:tcPr>
          <w:p w14:paraId="05BC40B0"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DSDECOD, DSSEQ, DSSTDY, DSCAT</w:t>
            </w:r>
          </w:p>
        </w:tc>
      </w:tr>
      <w:tr w:rsidR="008319B8" w:rsidRPr="0075259A" w14:paraId="5B28545A" w14:textId="77777777" w:rsidTr="00C409B9">
        <w:trPr>
          <w:trHeight w:val="57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00EF9E07" w14:textId="77777777" w:rsidR="008319B8" w:rsidRPr="006B3FCD" w:rsidRDefault="008319B8" w:rsidP="00C409B9">
            <w:pPr>
              <w:spacing w:after="0" w:line="240" w:lineRule="auto"/>
              <w:rPr>
                <w:rFonts w:eastAsia="Times New Roman"/>
                <w:b/>
                <w:bCs/>
                <w:color w:val="000000"/>
              </w:rPr>
            </w:pPr>
            <w:r w:rsidRPr="006B3FCD">
              <w:rPr>
                <w:rFonts w:eastAsia="Times New Roman"/>
                <w:b/>
                <w:bCs/>
                <w:color w:val="000000"/>
              </w:rPr>
              <w:t>Adverse Events</w:t>
            </w:r>
          </w:p>
        </w:tc>
        <w:tc>
          <w:tcPr>
            <w:tcW w:w="2200" w:type="dxa"/>
            <w:tcBorders>
              <w:top w:val="nil"/>
              <w:left w:val="nil"/>
              <w:bottom w:val="single" w:sz="4" w:space="0" w:color="auto"/>
              <w:right w:val="single" w:sz="4" w:space="0" w:color="auto"/>
            </w:tcBorders>
            <w:shd w:val="clear" w:color="auto" w:fill="auto"/>
            <w:vAlign w:val="center"/>
            <w:hideMark/>
          </w:tcPr>
          <w:p w14:paraId="038E3383" w14:textId="77777777" w:rsidR="008319B8" w:rsidRPr="0075259A" w:rsidRDefault="008319B8" w:rsidP="00C409B9">
            <w:pPr>
              <w:spacing w:after="0" w:line="240" w:lineRule="auto"/>
              <w:rPr>
                <w:rFonts w:eastAsia="Times New Roman"/>
                <w:color w:val="000000"/>
                <w:lang w:val="es-ES"/>
              </w:rPr>
            </w:pPr>
            <w:r w:rsidRPr="0075259A">
              <w:rPr>
                <w:rFonts w:eastAsia="Times New Roman"/>
                <w:color w:val="000000"/>
                <w:lang w:val="es-ES"/>
              </w:rPr>
              <w:t>AEDECOD, AESEQ, AESER, AESEV, AESPID</w:t>
            </w:r>
          </w:p>
        </w:tc>
        <w:tc>
          <w:tcPr>
            <w:tcW w:w="2100" w:type="dxa"/>
            <w:tcBorders>
              <w:top w:val="nil"/>
              <w:left w:val="nil"/>
              <w:bottom w:val="single" w:sz="4" w:space="0" w:color="auto"/>
              <w:right w:val="single" w:sz="4" w:space="0" w:color="auto"/>
            </w:tcBorders>
            <w:shd w:val="clear" w:color="auto" w:fill="auto"/>
            <w:vAlign w:val="center"/>
            <w:hideMark/>
          </w:tcPr>
          <w:p w14:paraId="015AC837" w14:textId="77777777" w:rsidR="008319B8" w:rsidRPr="0075259A" w:rsidRDefault="008319B8" w:rsidP="00C409B9">
            <w:pPr>
              <w:spacing w:after="0" w:line="240" w:lineRule="auto"/>
              <w:rPr>
                <w:rFonts w:eastAsia="Times New Roman"/>
                <w:color w:val="000000"/>
                <w:lang w:val="es-ES"/>
              </w:rPr>
            </w:pPr>
            <w:r w:rsidRPr="0075259A">
              <w:rPr>
                <w:rFonts w:eastAsia="Times New Roman"/>
                <w:color w:val="000000"/>
                <w:lang w:val="es-ES"/>
              </w:rPr>
              <w:t>AEDECOD, AESEQ, AESER, AESEV, AESPID</w:t>
            </w:r>
          </w:p>
        </w:tc>
        <w:tc>
          <w:tcPr>
            <w:tcW w:w="2300" w:type="dxa"/>
            <w:tcBorders>
              <w:top w:val="nil"/>
              <w:left w:val="nil"/>
              <w:bottom w:val="single" w:sz="4" w:space="0" w:color="auto"/>
              <w:right w:val="single" w:sz="4" w:space="0" w:color="auto"/>
            </w:tcBorders>
            <w:shd w:val="clear" w:color="auto" w:fill="auto"/>
            <w:vAlign w:val="center"/>
            <w:hideMark/>
          </w:tcPr>
          <w:p w14:paraId="12BF979E" w14:textId="77777777" w:rsidR="008319B8" w:rsidRPr="0075259A" w:rsidRDefault="008319B8" w:rsidP="00C409B9">
            <w:pPr>
              <w:spacing w:after="0" w:line="240" w:lineRule="auto"/>
              <w:rPr>
                <w:rFonts w:eastAsia="Times New Roman"/>
                <w:color w:val="000000"/>
                <w:lang w:val="es-ES"/>
              </w:rPr>
            </w:pPr>
            <w:r w:rsidRPr="0075259A">
              <w:rPr>
                <w:rFonts w:eastAsia="Times New Roman"/>
                <w:color w:val="000000"/>
                <w:lang w:val="es-ES"/>
              </w:rPr>
              <w:t>AEDECOD, AESEQ, AESER, AESEV, AESPID</w:t>
            </w:r>
          </w:p>
        </w:tc>
      </w:tr>
      <w:tr w:rsidR="008319B8" w:rsidRPr="006B3FCD" w14:paraId="1C086D61" w14:textId="77777777" w:rsidTr="00C409B9">
        <w:trPr>
          <w:trHeight w:val="855"/>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3538ED4E" w14:textId="77777777" w:rsidR="008319B8" w:rsidRPr="006B3FCD" w:rsidRDefault="008319B8" w:rsidP="00C409B9">
            <w:pPr>
              <w:spacing w:after="0" w:line="240" w:lineRule="auto"/>
              <w:rPr>
                <w:rFonts w:eastAsia="Times New Roman"/>
                <w:b/>
                <w:bCs/>
                <w:color w:val="000000"/>
              </w:rPr>
            </w:pPr>
            <w:r w:rsidRPr="006B3FCD">
              <w:rPr>
                <w:rFonts w:eastAsia="Times New Roman"/>
                <w:b/>
                <w:bCs/>
                <w:color w:val="000000"/>
              </w:rPr>
              <w:t>Baseline Disease Severity</w:t>
            </w:r>
          </w:p>
        </w:tc>
        <w:tc>
          <w:tcPr>
            <w:tcW w:w="2200" w:type="dxa"/>
            <w:tcBorders>
              <w:top w:val="nil"/>
              <w:left w:val="nil"/>
              <w:bottom w:val="single" w:sz="4" w:space="0" w:color="auto"/>
              <w:right w:val="single" w:sz="4" w:space="0" w:color="auto"/>
            </w:tcBorders>
            <w:shd w:val="clear" w:color="auto" w:fill="auto"/>
            <w:vAlign w:val="center"/>
            <w:hideMark/>
          </w:tcPr>
          <w:p w14:paraId="63F49B02"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QSSTRESC, LBSTRESC, LBSTRESN, LBORRES, LBCAT</w:t>
            </w:r>
          </w:p>
        </w:tc>
        <w:tc>
          <w:tcPr>
            <w:tcW w:w="2100" w:type="dxa"/>
            <w:tcBorders>
              <w:top w:val="nil"/>
              <w:left w:val="nil"/>
              <w:bottom w:val="single" w:sz="4" w:space="0" w:color="auto"/>
              <w:right w:val="single" w:sz="4" w:space="0" w:color="auto"/>
            </w:tcBorders>
            <w:shd w:val="clear" w:color="auto" w:fill="auto"/>
            <w:vAlign w:val="center"/>
            <w:hideMark/>
          </w:tcPr>
          <w:p w14:paraId="39EB751E"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QSSTRESC, LBSTRESC, LBSTRESN, LBORRES, LBCAT</w:t>
            </w:r>
          </w:p>
        </w:tc>
        <w:tc>
          <w:tcPr>
            <w:tcW w:w="2300" w:type="dxa"/>
            <w:tcBorders>
              <w:top w:val="nil"/>
              <w:left w:val="nil"/>
              <w:bottom w:val="single" w:sz="4" w:space="0" w:color="auto"/>
              <w:right w:val="single" w:sz="4" w:space="0" w:color="auto"/>
            </w:tcBorders>
            <w:shd w:val="clear" w:color="auto" w:fill="auto"/>
            <w:vAlign w:val="center"/>
            <w:hideMark/>
          </w:tcPr>
          <w:p w14:paraId="18F8CE20"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QSSTRESC, LBSTRESC, LBSTRESN, LBORRES, LBCAT</w:t>
            </w:r>
          </w:p>
        </w:tc>
      </w:tr>
      <w:tr w:rsidR="008319B8" w:rsidRPr="006B3FCD" w14:paraId="02AA83D7" w14:textId="77777777" w:rsidTr="00C409B9">
        <w:trPr>
          <w:trHeight w:val="114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0A58EE38" w14:textId="77777777" w:rsidR="008319B8" w:rsidRPr="006B3FCD" w:rsidRDefault="008319B8" w:rsidP="00C409B9">
            <w:pPr>
              <w:spacing w:after="0" w:line="240" w:lineRule="auto"/>
              <w:rPr>
                <w:rFonts w:eastAsia="Times New Roman"/>
                <w:b/>
                <w:bCs/>
                <w:color w:val="000000"/>
              </w:rPr>
            </w:pPr>
            <w:r w:rsidRPr="006B3FCD">
              <w:rPr>
                <w:rFonts w:eastAsia="Times New Roman"/>
                <w:b/>
                <w:bCs/>
                <w:color w:val="000000"/>
              </w:rPr>
              <w:t>Clinical Remission (Questionnaires)</w:t>
            </w:r>
          </w:p>
        </w:tc>
        <w:tc>
          <w:tcPr>
            <w:tcW w:w="2200" w:type="dxa"/>
            <w:tcBorders>
              <w:top w:val="nil"/>
              <w:left w:val="nil"/>
              <w:bottom w:val="single" w:sz="4" w:space="0" w:color="auto"/>
              <w:right w:val="single" w:sz="4" w:space="0" w:color="auto"/>
            </w:tcBorders>
            <w:shd w:val="clear" w:color="auto" w:fill="auto"/>
            <w:vAlign w:val="center"/>
            <w:hideMark/>
          </w:tcPr>
          <w:p w14:paraId="10B794DE"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QSTESTCD, QSORRES, QSTEST, QSSEQ, VISITNUM, QSCAT, QSSTRESN</w:t>
            </w:r>
          </w:p>
        </w:tc>
        <w:tc>
          <w:tcPr>
            <w:tcW w:w="2100" w:type="dxa"/>
            <w:tcBorders>
              <w:top w:val="nil"/>
              <w:left w:val="nil"/>
              <w:bottom w:val="single" w:sz="4" w:space="0" w:color="auto"/>
              <w:right w:val="single" w:sz="4" w:space="0" w:color="auto"/>
            </w:tcBorders>
            <w:shd w:val="clear" w:color="auto" w:fill="auto"/>
            <w:vAlign w:val="center"/>
            <w:hideMark/>
          </w:tcPr>
          <w:p w14:paraId="6DD6B6CD"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QSTESTCD, QSORRES, QSTEST, QSSEQ, VISITNUM, QSCAT, QSSTRESN</w:t>
            </w:r>
          </w:p>
        </w:tc>
        <w:tc>
          <w:tcPr>
            <w:tcW w:w="2300" w:type="dxa"/>
            <w:tcBorders>
              <w:top w:val="nil"/>
              <w:left w:val="nil"/>
              <w:bottom w:val="single" w:sz="4" w:space="0" w:color="auto"/>
              <w:right w:val="single" w:sz="4" w:space="0" w:color="auto"/>
            </w:tcBorders>
            <w:shd w:val="clear" w:color="auto" w:fill="auto"/>
            <w:vAlign w:val="center"/>
            <w:hideMark/>
          </w:tcPr>
          <w:p w14:paraId="612FD27A"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QSTESTCD, QSORRES, QSTEST, QSSEQ, VISITNUM, QSCAT, QSSTRESN</w:t>
            </w:r>
          </w:p>
        </w:tc>
      </w:tr>
      <w:tr w:rsidR="008319B8" w:rsidRPr="006B3FCD" w14:paraId="0619C5D6" w14:textId="77777777" w:rsidTr="00C409B9">
        <w:trPr>
          <w:trHeight w:val="57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629089B3" w14:textId="77777777" w:rsidR="008319B8" w:rsidRPr="006B3FCD" w:rsidRDefault="008319B8" w:rsidP="00C409B9">
            <w:pPr>
              <w:spacing w:after="0" w:line="240" w:lineRule="auto"/>
              <w:rPr>
                <w:rFonts w:eastAsia="Times New Roman"/>
                <w:b/>
                <w:bCs/>
                <w:color w:val="000000"/>
              </w:rPr>
            </w:pPr>
            <w:r w:rsidRPr="006B3FCD">
              <w:rPr>
                <w:rFonts w:eastAsia="Times New Roman"/>
                <w:b/>
                <w:bCs/>
                <w:color w:val="000000"/>
              </w:rPr>
              <w:t>Pharmacokinetics and Immunogenicity</w:t>
            </w:r>
          </w:p>
        </w:tc>
        <w:tc>
          <w:tcPr>
            <w:tcW w:w="2200" w:type="dxa"/>
            <w:tcBorders>
              <w:top w:val="nil"/>
              <w:left w:val="nil"/>
              <w:bottom w:val="single" w:sz="4" w:space="0" w:color="auto"/>
              <w:right w:val="single" w:sz="4" w:space="0" w:color="auto"/>
            </w:tcBorders>
            <w:shd w:val="clear" w:color="auto" w:fill="auto"/>
            <w:vAlign w:val="center"/>
            <w:hideMark/>
          </w:tcPr>
          <w:p w14:paraId="5DFF7384"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USTEKINUMAB_LVL, ADA_STATUS</w:t>
            </w:r>
          </w:p>
        </w:tc>
        <w:tc>
          <w:tcPr>
            <w:tcW w:w="2100" w:type="dxa"/>
            <w:tcBorders>
              <w:top w:val="nil"/>
              <w:left w:val="nil"/>
              <w:bottom w:val="single" w:sz="4" w:space="0" w:color="auto"/>
              <w:right w:val="single" w:sz="4" w:space="0" w:color="auto"/>
            </w:tcBorders>
            <w:shd w:val="clear" w:color="auto" w:fill="auto"/>
            <w:vAlign w:val="center"/>
            <w:hideMark/>
          </w:tcPr>
          <w:p w14:paraId="2BFF777B"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USTEKINUMAB_LVL, ADA_STATUS</w:t>
            </w:r>
          </w:p>
        </w:tc>
        <w:tc>
          <w:tcPr>
            <w:tcW w:w="2300" w:type="dxa"/>
            <w:tcBorders>
              <w:top w:val="nil"/>
              <w:left w:val="nil"/>
              <w:bottom w:val="single" w:sz="4" w:space="0" w:color="auto"/>
              <w:right w:val="single" w:sz="4" w:space="0" w:color="auto"/>
            </w:tcBorders>
            <w:shd w:val="clear" w:color="auto" w:fill="auto"/>
            <w:vAlign w:val="center"/>
            <w:hideMark/>
          </w:tcPr>
          <w:p w14:paraId="02976C13"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USTEKINUMAB_LVL, ADA_STATUS</w:t>
            </w:r>
          </w:p>
        </w:tc>
      </w:tr>
      <w:tr w:rsidR="008319B8" w:rsidRPr="006B3FCD" w14:paraId="599CD183" w14:textId="77777777" w:rsidTr="00C409B9">
        <w:trPr>
          <w:trHeight w:val="57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25C74750" w14:textId="77777777" w:rsidR="008319B8" w:rsidRPr="006B3FCD" w:rsidRDefault="008319B8" w:rsidP="00C409B9">
            <w:pPr>
              <w:spacing w:after="0" w:line="240" w:lineRule="auto"/>
              <w:rPr>
                <w:rFonts w:eastAsia="Times New Roman"/>
                <w:b/>
                <w:bCs/>
                <w:color w:val="000000"/>
              </w:rPr>
            </w:pPr>
            <w:r w:rsidRPr="006B3FCD">
              <w:rPr>
                <w:rFonts w:eastAsia="Times New Roman"/>
                <w:b/>
                <w:bCs/>
                <w:color w:val="000000"/>
              </w:rPr>
              <w:t>Dropout Rates</w:t>
            </w:r>
          </w:p>
        </w:tc>
        <w:tc>
          <w:tcPr>
            <w:tcW w:w="2200" w:type="dxa"/>
            <w:tcBorders>
              <w:top w:val="nil"/>
              <w:left w:val="nil"/>
              <w:bottom w:val="single" w:sz="4" w:space="0" w:color="auto"/>
              <w:right w:val="single" w:sz="4" w:space="0" w:color="auto"/>
            </w:tcBorders>
            <w:shd w:val="clear" w:color="auto" w:fill="auto"/>
            <w:vAlign w:val="center"/>
            <w:hideMark/>
          </w:tcPr>
          <w:p w14:paraId="690784BE"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DSDECOD, DSSTDY, DSSPID, EPOCH</w:t>
            </w:r>
          </w:p>
        </w:tc>
        <w:tc>
          <w:tcPr>
            <w:tcW w:w="2100" w:type="dxa"/>
            <w:tcBorders>
              <w:top w:val="nil"/>
              <w:left w:val="nil"/>
              <w:bottom w:val="single" w:sz="4" w:space="0" w:color="auto"/>
              <w:right w:val="single" w:sz="4" w:space="0" w:color="auto"/>
            </w:tcBorders>
            <w:shd w:val="clear" w:color="auto" w:fill="auto"/>
            <w:vAlign w:val="center"/>
            <w:hideMark/>
          </w:tcPr>
          <w:p w14:paraId="607C62EC"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DSDECOD, DSSTDY, DSSPID, EPOCH</w:t>
            </w:r>
          </w:p>
        </w:tc>
        <w:tc>
          <w:tcPr>
            <w:tcW w:w="2300" w:type="dxa"/>
            <w:tcBorders>
              <w:top w:val="nil"/>
              <w:left w:val="nil"/>
              <w:bottom w:val="single" w:sz="4" w:space="0" w:color="auto"/>
              <w:right w:val="single" w:sz="4" w:space="0" w:color="auto"/>
            </w:tcBorders>
            <w:shd w:val="clear" w:color="auto" w:fill="auto"/>
            <w:vAlign w:val="center"/>
            <w:hideMark/>
          </w:tcPr>
          <w:p w14:paraId="1EEBDD7D" w14:textId="77777777" w:rsidR="008319B8" w:rsidRPr="006B3FCD" w:rsidRDefault="008319B8" w:rsidP="00C409B9">
            <w:pPr>
              <w:spacing w:after="0" w:line="240" w:lineRule="auto"/>
              <w:rPr>
                <w:rFonts w:eastAsia="Times New Roman"/>
                <w:color w:val="000000"/>
              </w:rPr>
            </w:pPr>
            <w:r w:rsidRPr="006B3FCD">
              <w:rPr>
                <w:rFonts w:eastAsia="Times New Roman"/>
                <w:color w:val="000000"/>
              </w:rPr>
              <w:t>DSDECOD, DSSTDY, DSSPID, EPOCH</w:t>
            </w:r>
          </w:p>
        </w:tc>
      </w:tr>
    </w:tbl>
    <w:p w14:paraId="05AFC4FB" w14:textId="77777777" w:rsidR="004C0282" w:rsidRDefault="004C0282"/>
    <w:p w14:paraId="10853F34" w14:textId="08BF55D5" w:rsidR="00E63F7B" w:rsidRPr="00E63F7B" w:rsidRDefault="00E63F7B">
      <w:pPr>
        <w:rPr>
          <w:b/>
          <w:bCs/>
          <w:u w:val="single"/>
        </w:rPr>
      </w:pPr>
      <w:r w:rsidRPr="00E63F7B">
        <w:rPr>
          <w:b/>
          <w:bCs/>
          <w:u w:val="single"/>
        </w:rPr>
        <w:t>Statistical Analysis Plan:</w:t>
      </w:r>
    </w:p>
    <w:p w14:paraId="1ED88C08" w14:textId="77777777" w:rsidR="00E63F7B" w:rsidRPr="00E63F7B" w:rsidRDefault="00E63F7B" w:rsidP="00E63F7B">
      <w:pPr>
        <w:spacing w:before="90" w:after="0" w:line="240" w:lineRule="auto"/>
        <w:rPr>
          <w:rFonts w:ascii="Arial" w:hAnsi="Arial" w:cs="Arial"/>
        </w:rPr>
      </w:pPr>
      <w:r w:rsidRPr="00E63F7B">
        <w:rPr>
          <w:rFonts w:ascii="Arial" w:hAnsi="Arial" w:cs="Arial"/>
        </w:rPr>
        <w:t xml:space="preserve">The analysis for the primary aim will focus on comparing the enrollment, retention, and dropout rates across four age categories: Young Adults (18-25), Adults (26-45), Adults (46-65), and Older Adults (&gt;65). Inclusion criteria include patients aged 18 or older with a confirmed diagnosis of inflammatory bowel disease (IBD), who are participating in induction and maintenance trials assessing Ustekinumab efficacy, and who have moderate to severe IBD activity measured through CDAI, endoscopic findings, CRP, or other inflammatory markers. Exclusion criteria include patients treated with other biologic therapies within eight weeks of starting induction therapy and those previously treated with IL-12/IL-23 antagonists. Enrollment rates will be calculated as the proportion of patients enrolled in each age group relative to the total number of patients screened. Retention rates will assess the percentage of patients remaining in the trial throughout its duration, while dropout rates will examine the proportion of patients discontinuing the trial at various time points (e.g., weeks 4, 8, 16) across age groups. Reasons for dropout, such as adverse events, lack of efficacy, or withdrawal of consent, will also be explored. Descriptive statistics will summarize the data, and chi-square or Fisher’s exact tests will be used to compare rates across age groups. Logistic regression models will assess the likelihood of enrollment and dropout by age category, adjusting for covariates such as disease severity and treatment history. Time-to-dropout will be analyzed using Kaplan-Meier survival curves, with Cox proportional hazards models estimating hazard ratios for dropout </w:t>
      </w:r>
      <w:r w:rsidRPr="00E63F7B">
        <w:rPr>
          <w:rFonts w:ascii="Arial" w:hAnsi="Arial" w:cs="Arial"/>
        </w:rPr>
        <w:lastRenderedPageBreak/>
        <w:t>between age groups. This approach will provide a comprehensive understanding of age-related disparities in trial participation, retention, and dropout.</w:t>
      </w:r>
    </w:p>
    <w:p w14:paraId="7480E200" w14:textId="77777777" w:rsidR="00E63F7B" w:rsidRPr="00E63F7B" w:rsidRDefault="00E63F7B" w:rsidP="00E63F7B">
      <w:pPr>
        <w:spacing w:before="90" w:after="0" w:line="240" w:lineRule="auto"/>
        <w:rPr>
          <w:rFonts w:ascii="Arial" w:hAnsi="Arial" w:cs="Arial"/>
        </w:rPr>
      </w:pPr>
    </w:p>
    <w:p w14:paraId="0F6B04B4" w14:textId="77777777" w:rsidR="00E63F7B" w:rsidRPr="00E63F7B" w:rsidRDefault="00E63F7B" w:rsidP="00E63F7B">
      <w:pPr>
        <w:spacing w:before="90" w:after="0" w:line="240" w:lineRule="auto"/>
        <w:rPr>
          <w:rFonts w:ascii="Arial" w:hAnsi="Arial" w:cs="Arial"/>
        </w:rPr>
      </w:pPr>
      <w:r w:rsidRPr="00E63F7B">
        <w:rPr>
          <w:rFonts w:ascii="Arial" w:hAnsi="Arial" w:cs="Arial"/>
        </w:rPr>
        <w:t>The analysis for the secondary aim of evaluating baseline disease severity across age groups will focus on comparing the Crohn's Disease Activity Index (CDAI), C-reactive protein (CRP) levels, and fecal calprotectin levels among four age categories: Young Adults (18-25), Adults aged 26-45, Adults aged 46-65, and Older Adults (&gt;65). Descriptive statistics, such as means and standard deviations, will be used to summarize CDAI, CRP, and fecal calprotectin levels within each age group. ANOVA will be employed to compare the mean baseline levels of these variables across the different age groups. If the assumptions of normality and homogeneity of variances are not met, the Kruskal-</w:t>
      </w:r>
      <w:proofErr w:type="gramStart"/>
      <w:r w:rsidRPr="00E63F7B">
        <w:rPr>
          <w:rFonts w:ascii="Arial" w:hAnsi="Arial" w:cs="Arial"/>
        </w:rPr>
        <w:t>Wallis</w:t>
      </w:r>
      <w:proofErr w:type="gramEnd"/>
      <w:r w:rsidRPr="00E63F7B">
        <w:rPr>
          <w:rFonts w:ascii="Arial" w:hAnsi="Arial" w:cs="Arial"/>
        </w:rPr>
        <w:t xml:space="preserve"> test will be used as a non-parametric alternative. Post-hoc pairwise comparisons using Tukey's test will be conducted to identify specific differences between age groups if the overall test is significant. Additionally, multivariable linear regression models will be fitted to assess the association between age and baseline disease severity while adjusting for potential confounders such as disease duration, prior treatments, and comorbidities. This approach will provide insights into how baseline disease severity, as measured by CDAI, CRP, and fecal calprotectin, varies across different age groups in the study population.</w:t>
      </w:r>
    </w:p>
    <w:p w14:paraId="17A013AF" w14:textId="77777777" w:rsidR="00E63F7B" w:rsidRPr="00E63F7B" w:rsidRDefault="00E63F7B" w:rsidP="00E63F7B">
      <w:pPr>
        <w:spacing w:before="90" w:after="0" w:line="240" w:lineRule="auto"/>
        <w:rPr>
          <w:rFonts w:ascii="Arial" w:hAnsi="Arial" w:cs="Arial"/>
        </w:rPr>
      </w:pPr>
    </w:p>
    <w:p w14:paraId="731FCD14" w14:textId="77777777" w:rsidR="00E63F7B" w:rsidRPr="00E63F7B" w:rsidRDefault="00E63F7B" w:rsidP="00E63F7B">
      <w:pPr>
        <w:pStyle w:val="NormalWeb"/>
        <w:rPr>
          <w:rFonts w:ascii="Arial" w:eastAsia="Calibri" w:hAnsi="Arial" w:cs="Arial"/>
          <w:sz w:val="22"/>
          <w:szCs w:val="22"/>
        </w:rPr>
      </w:pPr>
      <w:r w:rsidRPr="00E63F7B">
        <w:rPr>
          <w:rFonts w:ascii="Arial" w:eastAsia="Calibri" w:hAnsi="Arial" w:cs="Arial"/>
          <w:sz w:val="22"/>
          <w:szCs w:val="22"/>
        </w:rPr>
        <w:t xml:space="preserve">The analysis for secondary aim b), which focuses on treatment efficacy across age groups, will be conducted separately for induction and maintenance trials. </w:t>
      </w:r>
    </w:p>
    <w:p w14:paraId="260B746C" w14:textId="77777777" w:rsidR="00E63F7B" w:rsidRPr="00E63F7B" w:rsidRDefault="00E63F7B" w:rsidP="00E63F7B">
      <w:pPr>
        <w:pStyle w:val="NormalWeb"/>
        <w:rPr>
          <w:rFonts w:ascii="Arial" w:eastAsia="Calibri" w:hAnsi="Arial" w:cs="Arial"/>
          <w:sz w:val="22"/>
          <w:szCs w:val="22"/>
        </w:rPr>
      </w:pPr>
      <w:r w:rsidRPr="00E63F7B">
        <w:rPr>
          <w:rFonts w:ascii="Arial" w:eastAsia="Calibri" w:hAnsi="Arial" w:cs="Arial"/>
          <w:sz w:val="22"/>
          <w:szCs w:val="22"/>
        </w:rPr>
        <w:t>For induction trials, the goal is to assess the proportion of patients in each age group (Young Adults aged 18-25, Adults aged 26-45, Adults aged 46-65, and Older Adults aged &gt;65) who experience a clinical response, defined as a decrease from baseline CDAI score of at least 100 points or a total CDAI score &lt;150 at week 6. Additionally, the analysis will evaluate the proportion of patients achieving clinical remission (CDAI score &lt;150) at week 8, as well as clinical response and changes in CDAI scores at weeks 3 and 6. The study will also assess changes in inflammatory markers such as CRP and fecal calprotectin at weeks 3, 6, and 8, and the normalization of these markers (CRP &lt;3.0 mg/L and fecal calprotectin ≤250 or ≤100 mg/kg). Statistical methods will include descriptive statistics to summarize response and remission rates, followed by chi-square tests or logistic regression to compare response rates between age groups. Repeated measures ANOVA or mixed-effects models will be used to assess changes in CDAI, CRP, and fecal calprotectin over time. Sub-analyses will differentiate responses between biologic-experienced patients (UNITI-1) and biologic-naïve patients (UNITI-2).</w:t>
      </w:r>
    </w:p>
    <w:p w14:paraId="207E2C54" w14:textId="77777777" w:rsidR="00E63F7B" w:rsidRPr="00E63F7B" w:rsidRDefault="00E63F7B" w:rsidP="00E63F7B">
      <w:pPr>
        <w:pStyle w:val="NormalWeb"/>
        <w:rPr>
          <w:rFonts w:ascii="Arial" w:eastAsia="Calibri" w:hAnsi="Arial" w:cs="Arial"/>
          <w:sz w:val="22"/>
          <w:szCs w:val="22"/>
        </w:rPr>
      </w:pPr>
      <w:r w:rsidRPr="00E63F7B">
        <w:rPr>
          <w:rFonts w:ascii="Arial" w:eastAsia="Calibri" w:hAnsi="Arial" w:cs="Arial"/>
          <w:sz w:val="22"/>
          <w:szCs w:val="22"/>
        </w:rPr>
        <w:t>For maintenance trials, the analysis will assess the proportion of patients in each age group achieving clinical remission (CDAI score &lt;150) at week 44, along with clinical response (a decrease in CDAI score of ≥100 points from week 0 or clinical remission), maintenance of remission, glucocorticoid-free remission, and remission in patients with prior anti-TNF treatment failure (UNITI-1). The study will also examine changes in CDAI, CRP, and fecal calprotectin levels through week 44. Logistic regression models will estimate the likelihood of achieving remission or response, while mixed-effects models will assess changes in CDAI and inflammatory markers over time. Stratified analyses will be performed to compare the outcomes between biologic-experienced and biologic-naïve patients. This approach will provide a comprehensive understanding of how treatment efficacy varies across age groups in both induction and maintenance phases.</w:t>
      </w:r>
    </w:p>
    <w:p w14:paraId="237744DF" w14:textId="77777777" w:rsidR="00E63F7B" w:rsidRPr="00E63F7B" w:rsidRDefault="00E63F7B" w:rsidP="00E63F7B">
      <w:pPr>
        <w:spacing w:before="90" w:after="0" w:line="240" w:lineRule="auto"/>
        <w:rPr>
          <w:rFonts w:ascii="Arial" w:hAnsi="Arial" w:cs="Arial"/>
          <w:color w:val="000000"/>
        </w:rPr>
      </w:pPr>
      <w:r w:rsidRPr="00E63F7B">
        <w:rPr>
          <w:rFonts w:ascii="Arial" w:hAnsi="Arial" w:cs="Arial"/>
        </w:rPr>
        <w:lastRenderedPageBreak/>
        <w:t>The analysis for secondary aim c) will focus on evaluating the side effects, safety profile, and adverse events, including infections, across different age groups. Descriptive statistics will be used to summarize the frequency and types of side effects and adverse events reported at various time points during the trial. This will include common side effects, serious adverse events, and infections. Chi-square tests or Fisher’s exact tests will be employed to compare the proportions of patients experiencing specific adverse events across age groups. Logistic regression models will be used to assess the likelihood of experiencing adverse events, with age as the primary independent variable and adjustments made for baseline disease severity, treatment history, and comorbidities. Kaplan-Meier survival analysis will be applied to evaluate the time to first adverse event, and Cox proportional hazards models will estimate the hazard ratios for adverse events across age groups. The overall safety profile will be analyzed by examining the timing and severity of side effects and adverse events in relation to treatment, providing a comprehensive understanding of how safety outcomes vary by age.</w:t>
      </w:r>
    </w:p>
    <w:p w14:paraId="3199D4E3" w14:textId="77777777" w:rsidR="00E63F7B" w:rsidRPr="00E63F7B" w:rsidRDefault="00E63F7B" w:rsidP="00E63F7B">
      <w:pPr>
        <w:spacing w:before="90" w:after="0" w:line="240" w:lineRule="auto"/>
        <w:rPr>
          <w:rFonts w:ascii="Arial" w:hAnsi="Arial" w:cs="Arial"/>
          <w:color w:val="000000"/>
        </w:rPr>
      </w:pPr>
    </w:p>
    <w:p w14:paraId="7588D2F1" w14:textId="77777777" w:rsidR="00E63F7B" w:rsidRPr="00E63F7B" w:rsidRDefault="00E63F7B" w:rsidP="00E63F7B">
      <w:pPr>
        <w:pStyle w:val="NormalWeb"/>
        <w:rPr>
          <w:rFonts w:ascii="Arial" w:hAnsi="Arial" w:cs="Arial"/>
          <w:sz w:val="22"/>
          <w:szCs w:val="22"/>
        </w:rPr>
      </w:pPr>
      <w:r w:rsidRPr="00E63F7B">
        <w:rPr>
          <w:rFonts w:ascii="Arial" w:hAnsi="Arial" w:cs="Arial"/>
          <w:sz w:val="22"/>
          <w:szCs w:val="22"/>
        </w:rPr>
        <w:t>The analysis for secondary aim d) will focus on evaluating the pharmacokinetics and immunogenicity of Ustekinumab across different age groups during both the induction and maintenance phases of treatment. Serum Ustekinumab levels will be assessed at weeks 0, 3, 6, and 8 during the induction phase, and every 4 weeks during the maintenance phase. Descriptive statistics will be used to summarize Ustekinumab concentrations at each time point for each age group. Repeated measures ANOVA or mixed-effects models will be employed to compare Ustekinumab levels over time between age groups, adjusting for covariates such as disease severity, body weight, and treatment history.</w:t>
      </w:r>
    </w:p>
    <w:p w14:paraId="1D115686" w14:textId="77777777" w:rsidR="00E63F7B" w:rsidRDefault="00E63F7B" w:rsidP="00E63F7B">
      <w:pPr>
        <w:pStyle w:val="NormalWeb"/>
        <w:rPr>
          <w:rFonts w:ascii="Arial" w:hAnsi="Arial" w:cs="Arial"/>
          <w:sz w:val="22"/>
          <w:szCs w:val="22"/>
        </w:rPr>
      </w:pPr>
      <w:r w:rsidRPr="00E63F7B">
        <w:rPr>
          <w:rFonts w:ascii="Arial" w:hAnsi="Arial" w:cs="Arial"/>
          <w:sz w:val="22"/>
          <w:szCs w:val="22"/>
        </w:rPr>
        <w:t>Additionally, the presence of antidrug antibodies will be assessed at weeks 0 and 6 during the induction phase, and at weeks 12, 24, 36, and 44 during the maintenance phase. The frequency of antidrug antibody development will be summarized for each age group, and chi-square tests or Fisher’s exact tests will be used to compare the proportions of patients who develop antidrug antibodies across age groups. Logistic regression models will be applied to evaluate the association between age and the likelihood of developing antidrug antibodies, with adjustments for baseline characteristics. The analysis will provide insights into how Ustekinumab pharmacokinetics and immunogenicity differ across age groups, which may have implications for dose optimization and treatment efficacy in different patient populations.</w:t>
      </w:r>
    </w:p>
    <w:p w14:paraId="2DA19CCB" w14:textId="77777777" w:rsidR="00E63F7B" w:rsidRDefault="00E63F7B" w:rsidP="00E63F7B">
      <w:pPr>
        <w:pStyle w:val="NormalWeb"/>
        <w:rPr>
          <w:rFonts w:ascii="Arial" w:hAnsi="Arial" w:cs="Arial"/>
          <w:sz w:val="22"/>
          <w:szCs w:val="22"/>
        </w:rPr>
      </w:pPr>
    </w:p>
    <w:p w14:paraId="6D8220AA" w14:textId="77777777" w:rsidR="00E63F7B" w:rsidRPr="00E63F7B" w:rsidRDefault="00E63F7B" w:rsidP="00E63F7B">
      <w:pPr>
        <w:pStyle w:val="NormalWeb"/>
        <w:rPr>
          <w:rFonts w:ascii="Arial" w:hAnsi="Arial" w:cs="Arial"/>
          <w:sz w:val="22"/>
          <w:szCs w:val="22"/>
        </w:rPr>
      </w:pPr>
    </w:p>
    <w:p w14:paraId="7FB75C32" w14:textId="77777777" w:rsidR="00E63F7B" w:rsidRDefault="00E63F7B"/>
    <w:sectPr w:rsidR="00E63F7B" w:rsidSect="00575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B8"/>
    <w:rsid w:val="00155FA2"/>
    <w:rsid w:val="004C0282"/>
    <w:rsid w:val="00575754"/>
    <w:rsid w:val="008319B8"/>
    <w:rsid w:val="00845E3E"/>
    <w:rsid w:val="00E63F7B"/>
    <w:rsid w:val="00F9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C3F95E"/>
  <w15:chartTrackingRefBased/>
  <w15:docId w15:val="{F6355DBE-29DC-534C-822C-F8DF3D1E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B8"/>
    <w:pPr>
      <w:spacing w:after="160" w:line="259" w:lineRule="auto"/>
    </w:pPr>
    <w:rPr>
      <w:rFonts w:ascii="Calibri" w:eastAsia="Calibri" w:hAnsi="Calibri" w:cs="Calibri"/>
      <w:sz w:val="22"/>
      <w:szCs w:val="22"/>
      <w:lang w:eastAsia="zh-CN"/>
    </w:rPr>
  </w:style>
  <w:style w:type="paragraph" w:styleId="Heading1">
    <w:name w:val="heading 1"/>
    <w:basedOn w:val="Normal"/>
    <w:next w:val="Normal"/>
    <w:link w:val="Heading1Char"/>
    <w:uiPriority w:val="9"/>
    <w:qFormat/>
    <w:rsid w:val="008319B8"/>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8319B8"/>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8319B8"/>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8319B8"/>
    <w:pPr>
      <w:keepNext/>
      <w:keepLines/>
      <w:spacing w:before="80" w:after="40" w:line="240" w:lineRule="auto"/>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8319B8"/>
    <w:pPr>
      <w:keepNext/>
      <w:keepLines/>
      <w:spacing w:before="80" w:after="40" w:line="240" w:lineRule="auto"/>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8319B8"/>
    <w:pPr>
      <w:keepNext/>
      <w:keepLines/>
      <w:spacing w:before="40" w:after="0" w:line="240" w:lineRule="auto"/>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8319B8"/>
    <w:pPr>
      <w:keepNext/>
      <w:keepLines/>
      <w:spacing w:before="40" w:after="0" w:line="240" w:lineRule="auto"/>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8319B8"/>
    <w:pPr>
      <w:keepNext/>
      <w:keepLines/>
      <w:spacing w:after="0" w:line="240" w:lineRule="auto"/>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8319B8"/>
    <w:pPr>
      <w:keepNext/>
      <w:keepLines/>
      <w:spacing w:after="0" w:line="240" w:lineRule="auto"/>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9B8"/>
    <w:rPr>
      <w:rFonts w:eastAsiaTheme="majorEastAsia" w:cstheme="majorBidi"/>
      <w:color w:val="272727" w:themeColor="text1" w:themeTint="D8"/>
    </w:rPr>
  </w:style>
  <w:style w:type="paragraph" w:styleId="Title">
    <w:name w:val="Title"/>
    <w:basedOn w:val="Normal"/>
    <w:next w:val="Normal"/>
    <w:link w:val="TitleChar"/>
    <w:uiPriority w:val="10"/>
    <w:qFormat/>
    <w:rsid w:val="008319B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31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B8"/>
    <w:pPr>
      <w:numPr>
        <w:ilvl w:val="1"/>
      </w:numPr>
      <w:spacing w:line="240"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831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9B8"/>
    <w:pPr>
      <w:spacing w:before="160" w:line="240" w:lineRule="auto"/>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8319B8"/>
    <w:rPr>
      <w:i/>
      <w:iCs/>
      <w:color w:val="404040" w:themeColor="text1" w:themeTint="BF"/>
    </w:rPr>
  </w:style>
  <w:style w:type="paragraph" w:styleId="ListParagraph">
    <w:name w:val="List Paragraph"/>
    <w:basedOn w:val="Normal"/>
    <w:uiPriority w:val="34"/>
    <w:qFormat/>
    <w:rsid w:val="008319B8"/>
    <w:pPr>
      <w:spacing w:after="0" w:line="240" w:lineRule="auto"/>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8319B8"/>
    <w:rPr>
      <w:i/>
      <w:iCs/>
      <w:color w:val="0F4761" w:themeColor="accent1" w:themeShade="BF"/>
    </w:rPr>
  </w:style>
  <w:style w:type="paragraph" w:styleId="IntenseQuote">
    <w:name w:val="Intense Quote"/>
    <w:basedOn w:val="Normal"/>
    <w:next w:val="Normal"/>
    <w:link w:val="IntenseQuoteChar"/>
    <w:uiPriority w:val="30"/>
    <w:qFormat/>
    <w:rsid w:val="008319B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8319B8"/>
    <w:rPr>
      <w:i/>
      <w:iCs/>
      <w:color w:val="0F4761" w:themeColor="accent1" w:themeShade="BF"/>
    </w:rPr>
  </w:style>
  <w:style w:type="character" w:styleId="IntenseReference">
    <w:name w:val="Intense Reference"/>
    <w:basedOn w:val="DefaultParagraphFont"/>
    <w:uiPriority w:val="32"/>
    <w:qFormat/>
    <w:rsid w:val="008319B8"/>
    <w:rPr>
      <w:b/>
      <w:bCs/>
      <w:smallCaps/>
      <w:color w:val="0F4761" w:themeColor="accent1" w:themeShade="BF"/>
      <w:spacing w:val="5"/>
    </w:rPr>
  </w:style>
  <w:style w:type="paragraph" w:styleId="NormalWeb">
    <w:name w:val="Normal (Web)"/>
    <w:basedOn w:val="Normal"/>
    <w:uiPriority w:val="99"/>
    <w:semiHidden/>
    <w:unhideWhenUsed/>
    <w:rsid w:val="00E63F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1389</Words>
  <Characters>7923</Characters>
  <Application>Microsoft Office Word</Application>
  <DocSecurity>0</DocSecurity>
  <Lines>66</Lines>
  <Paragraphs>18</Paragraphs>
  <ScaleCrop>false</ScaleCrop>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Potlach,Tomas</dc:creator>
  <cp:keywords/>
  <dc:description/>
  <cp:lastModifiedBy>Potlach,Tomas</cp:lastModifiedBy>
  <cp:revision>2</cp:revision>
  <dcterms:created xsi:type="dcterms:W3CDTF">2024-10-18T20:11:00Z</dcterms:created>
  <dcterms:modified xsi:type="dcterms:W3CDTF">2024-10-18T20:11:00Z</dcterms:modified>
</cp:coreProperties>
</file>