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C52CF" w:rsidRDefault="00C36C31">
      <w:pPr>
        <w:spacing w:before="280" w:after="28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Have We Overlooked Statins? An Exploratory Meta-Regression Analysis on Their Impact on SGLT2-Inhibitor Effects on Major Adverse Cardiovascular Events (MACE) in Type 2 Diabetes (T2DM)</w:t>
      </w:r>
    </w:p>
    <w:p w14:paraId="00000009" w14:textId="52B134FD" w:rsidR="005C52CF" w:rsidRDefault="00C36C31">
      <w:pPr>
        <w:spacing w:after="200"/>
        <w:jc w:val="both"/>
        <w:rPr>
          <w:rFonts w:ascii="Times New Roman" w:eastAsia="Times New Roman" w:hAnsi="Times New Roman" w:cs="Times New Roman"/>
          <w:b/>
          <w:bCs/>
          <w:sz w:val="24"/>
          <w:szCs w:val="24"/>
        </w:rPr>
      </w:pPr>
      <w:r>
        <w:pict w14:anchorId="179009EA">
          <v:rect id="_x0000_i1025" style="width:0;height:1.5pt" o:hralign="center" o:hrstd="t" o:hr="t" fillcolor="#a0a0a0" stroked="f"/>
        </w:pict>
      </w:r>
    </w:p>
    <w:p w14:paraId="0000000A" w14:textId="77777777" w:rsidR="005C52CF" w:rsidRDefault="00C36C31">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0000000B" w14:textId="77777777" w:rsidR="005C52CF" w:rsidRDefault="00C36C3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Background:</w:t>
      </w:r>
      <w:r>
        <w:rPr>
          <w:rFonts w:ascii="Times New Roman" w:eastAsia="Times New Roman" w:hAnsi="Times New Roman" w:cs="Times New Roman"/>
          <w:sz w:val="24"/>
          <w:szCs w:val="24"/>
        </w:rPr>
        <w:t xml:space="preserve"> Sodium-glucose cotransporter-2 inhibitors (SGLT2i) reduce major adverse cardiovascular events (MACE) in type 2 diabetes mellitus (T2DM), but whether baseline statin use modifies these benefits remains unclear. We explored whether trial-level statin use modifies SGLT2 inhibitor effects on MACE and components in T2DM. </w:t>
      </w:r>
      <w:r>
        <w:rPr>
          <w:rFonts w:ascii="Times New Roman" w:eastAsia="Times New Roman" w:hAnsi="Times New Roman" w:cs="Times New Roman"/>
          <w:b/>
          <w:bCs/>
          <w:sz w:val="24"/>
          <w:szCs w:val="24"/>
        </w:rPr>
        <w:t>Methods:</w:t>
      </w:r>
      <w:r>
        <w:rPr>
          <w:rFonts w:ascii="Times New Roman" w:eastAsia="Times New Roman" w:hAnsi="Times New Roman" w:cs="Times New Roman"/>
          <w:sz w:val="24"/>
          <w:szCs w:val="24"/>
        </w:rPr>
        <w:t xml:space="preserve"> We performed a systematic review, random-effects meta-analysis, and exploratory meta-regression of placebo-controlled phase III CVOTs of SGLT2 inhibitors reporting MACE and baseline st</w:t>
      </w:r>
      <w:r>
        <w:rPr>
          <w:rFonts w:ascii="Times New Roman" w:eastAsia="Times New Roman" w:hAnsi="Times New Roman" w:cs="Times New Roman"/>
          <w:sz w:val="24"/>
          <w:szCs w:val="24"/>
        </w:rPr>
        <w:t xml:space="preserve">atin use. Databases were searched from inception to January 5, 2026. Hazard ratios (HRs) were pooled using inverse-variance methods, and univariable meta-regression assessed associations between statin prevalence and treatment effects. </w:t>
      </w:r>
      <w:r>
        <w:rPr>
          <w:rFonts w:ascii="Times New Roman" w:eastAsia="Times New Roman" w:hAnsi="Times New Roman" w:cs="Times New Roman"/>
          <w:b/>
          <w:bCs/>
          <w:sz w:val="24"/>
          <w:szCs w:val="24"/>
        </w:rPr>
        <w:t>Results:</w:t>
      </w:r>
      <w:r>
        <w:rPr>
          <w:rFonts w:ascii="Times New Roman" w:eastAsia="Times New Roman" w:hAnsi="Times New Roman" w:cs="Times New Roman"/>
          <w:sz w:val="24"/>
          <w:szCs w:val="24"/>
        </w:rPr>
        <w:t xml:space="preserve"> Three pooled analyses (EMPA-REG OUTCOME, CANVAS Program [two trials], VERTIS CV) of 25,408 participants were included. MACE showed non-significant reduction (HR 0.90, 95% CI 0.75-1.07; p=0.113), with marginal attenuation at higher statin use (coefficient 0.0197, p=0.</w:t>
      </w:r>
      <w:r>
        <w:rPr>
          <w:rFonts w:ascii="Times New Roman" w:eastAsia="Times New Roman" w:hAnsi="Times New Roman" w:cs="Times New Roman"/>
          <w:sz w:val="24"/>
          <w:szCs w:val="24"/>
        </w:rPr>
        <w:t xml:space="preserve">071). Non-fatal myocardial infarction showed no overall effect (HR 0.92, 95% CI 0.70-1.22; p=0.343) but significant </w:t>
      </w:r>
      <w:proofErr w:type="gramStart"/>
      <w:r>
        <w:rPr>
          <w:rFonts w:ascii="Times New Roman" w:eastAsia="Times New Roman" w:hAnsi="Times New Roman" w:cs="Times New Roman"/>
          <w:sz w:val="24"/>
          <w:szCs w:val="24"/>
        </w:rPr>
        <w:t>statin</w:t>
      </w:r>
      <w:proofErr w:type="gramEnd"/>
      <w:r>
        <w:rPr>
          <w:rFonts w:ascii="Times New Roman" w:eastAsia="Times New Roman" w:hAnsi="Times New Roman" w:cs="Times New Roman"/>
          <w:sz w:val="24"/>
          <w:szCs w:val="24"/>
        </w:rPr>
        <w:t xml:space="preserve">-treatment interaction (coefficient 0.0316, p=0.006). Non-fatal stroke (HR 1.02, 95% CI 0.68-1.52; p=0.848) and cardiovascular death (HR 0.80, 95% CI 0.47-1.35; p=0.204) were neutral without statin interaction. </w:t>
      </w:r>
      <w:r>
        <w:rPr>
          <w:rFonts w:ascii="Times New Roman" w:eastAsia="Times New Roman" w:hAnsi="Times New Roman" w:cs="Times New Roman"/>
          <w:b/>
          <w:bCs/>
          <w:sz w:val="24"/>
          <w:szCs w:val="24"/>
        </w:rPr>
        <w:t>Conclusions:</w:t>
      </w:r>
      <w:r>
        <w:rPr>
          <w:rFonts w:ascii="Times New Roman" w:eastAsia="Times New Roman" w:hAnsi="Times New Roman" w:cs="Times New Roman"/>
          <w:sz w:val="24"/>
          <w:szCs w:val="24"/>
        </w:rPr>
        <w:t xml:space="preserve"> Higher baseline statin use may attenuate SGLT2 inhibitor effects on </w:t>
      </w:r>
      <w:r>
        <w:rPr>
          <w:rFonts w:ascii="Times New Roman" w:eastAsia="Times New Roman" w:hAnsi="Times New Roman" w:cs="Times New Roman"/>
          <w:sz w:val="24"/>
          <w:szCs w:val="24"/>
        </w:rPr>
        <w:lastRenderedPageBreak/>
        <w:t>non-fatal myocardial infarction, while overall MACE and mortality benefits appear preserved. These</w:t>
      </w:r>
      <w:r>
        <w:rPr>
          <w:rFonts w:ascii="Times New Roman" w:eastAsia="Times New Roman" w:hAnsi="Times New Roman" w:cs="Times New Roman"/>
          <w:sz w:val="24"/>
          <w:szCs w:val="24"/>
        </w:rPr>
        <w:t xml:space="preserve"> exploratory findings warrant confirmation in patient-level analyses.</w:t>
      </w:r>
    </w:p>
    <w:p w14:paraId="0000000C" w14:textId="77777777" w:rsidR="005C52CF" w:rsidRDefault="00C36C3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Type 2 diabetes mellitus; SGLT2 inhibitors; statins; major adverse cardiovascular events; meta-analysis; meta-regression; cardiovascular outcome trials; effect modification; non-fatal myocardial infarction</w:t>
      </w:r>
    </w:p>
    <w:p w14:paraId="0000000D" w14:textId="77777777" w:rsidR="005C52CF" w:rsidRDefault="00C36C31">
      <w:pPr>
        <w:spacing w:after="200"/>
        <w:jc w:val="both"/>
        <w:rPr>
          <w:rFonts w:ascii="Times New Roman" w:eastAsia="Times New Roman" w:hAnsi="Times New Roman" w:cs="Times New Roman"/>
          <w:b/>
          <w:bCs/>
          <w:sz w:val="24"/>
          <w:szCs w:val="24"/>
        </w:rPr>
      </w:pPr>
      <w:r>
        <w:pict w14:anchorId="79694915">
          <v:rect id="_x0000_i1027" style="width:0;height:1.5pt" o:hralign="center" o:hrstd="t" o:hr="t" fillcolor="#a0a0a0" stroked="f"/>
        </w:pict>
      </w:r>
    </w:p>
    <w:p w14:paraId="0000000E" w14:textId="77777777" w:rsidR="005C52CF" w:rsidRDefault="00C36C31">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0000000F" w14:textId="77777777" w:rsidR="005C52CF" w:rsidRDefault="00C36C3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Type 2 diabetes mellitus (T2DM) represents a major and escalating global health challenge affecting an estimate of 589 million adults in 2024 (11.11% of the global adult population) based on the International Diabetes Federation's Diabetes Atlas 11th edition </w:t>
      </w:r>
      <w:hyperlink r:id="rId4">
        <w:r>
          <w:rPr>
            <w:rFonts w:ascii="Times New Roman" w:eastAsia="Times New Roman" w:hAnsi="Times New Roman" w:cs="Times New Roman"/>
            <w:color w:val="000000"/>
            <w:sz w:val="24"/>
            <w:szCs w:val="24"/>
          </w:rPr>
          <w:t>[1]</w:t>
        </w:r>
      </w:hyperlink>
      <w:r>
        <w:rPr>
          <w:rFonts w:ascii="Times New Roman" w:eastAsia="Times New Roman" w:hAnsi="Times New Roman" w:cs="Times New Roman"/>
          <w:sz w:val="24"/>
          <w:szCs w:val="24"/>
        </w:rPr>
        <w:t xml:space="preserve">. Among patients with T2DM, cardiovascular disease (CVD) has been the leading cause of morbidity and mortality, with a 1.5- to 2-fold incremental increase in risk relative to individuals without diabetes, contributing to 50% mortality due to diabetes </w:t>
      </w:r>
      <w:hyperlink r:id="rId5">
        <w:r>
          <w:rPr>
            <w:rFonts w:ascii="Times New Roman" w:eastAsia="Times New Roman" w:hAnsi="Times New Roman" w:cs="Times New Roman"/>
            <w:color w:val="000000"/>
            <w:sz w:val="24"/>
            <w:szCs w:val="24"/>
          </w:rPr>
          <w:t>[2]</w:t>
        </w:r>
      </w:hyperlink>
      <w:r>
        <w:rPr>
          <w:rFonts w:ascii="Times New Roman" w:eastAsia="Times New Roman" w:hAnsi="Times New Roman" w:cs="Times New Roman"/>
          <w:sz w:val="24"/>
          <w:szCs w:val="24"/>
        </w:rPr>
        <w:t xml:space="preserve">. T2DM imposes a substantial CVD burden worldwide. Diabetes-linked CVD has been reported to account for 11% of all cardiovascular deaths </w:t>
      </w:r>
      <w:hyperlink r:id="rId6">
        <w:r>
          <w:rPr>
            <w:rFonts w:ascii="Times New Roman" w:eastAsia="Times New Roman" w:hAnsi="Times New Roman" w:cs="Times New Roman"/>
            <w:color w:val="000000"/>
            <w:sz w:val="24"/>
            <w:szCs w:val="24"/>
          </w:rPr>
          <w:t>[3]</w:t>
        </w:r>
      </w:hyperlink>
      <w:r>
        <w:rPr>
          <w:rFonts w:ascii="Times New Roman" w:eastAsia="Times New Roman" w:hAnsi="Times New Roman" w:cs="Times New Roman"/>
          <w:sz w:val="24"/>
          <w:szCs w:val="24"/>
        </w:rPr>
        <w:t xml:space="preserve">. Despite advances in risk factor management residual cardiovascular risk persists </w:t>
      </w:r>
      <w:hyperlink r:id="rId7">
        <w:r>
          <w:rPr>
            <w:rFonts w:ascii="Times New Roman" w:eastAsia="Times New Roman" w:hAnsi="Times New Roman" w:cs="Times New Roman"/>
            <w:color w:val="000000"/>
            <w:sz w:val="24"/>
            <w:szCs w:val="24"/>
          </w:rPr>
          <w:t>[4]</w:t>
        </w:r>
      </w:hyperlink>
      <w:r>
        <w:rPr>
          <w:rFonts w:ascii="Times New Roman" w:eastAsia="Times New Roman" w:hAnsi="Times New Roman" w:cs="Times New Roman"/>
          <w:sz w:val="24"/>
          <w:szCs w:val="24"/>
        </w:rPr>
        <w:t>.</w:t>
      </w:r>
    </w:p>
    <w:p w14:paraId="00000010" w14:textId="77777777" w:rsidR="005C52CF" w:rsidRDefault="00C36C3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Cardiovascular outcome trials (CVOTs) proved sodium-glucose cotransporter-2 (SGLT2) inhibitors to be a transformative class of anti-diabetic agents, due to their robust cardiovascular safety profiles among trials in addition to their glucose-lowering effect. Key CVOTs such as EMPA-REG OUTCOME (empagliflozin), CANVAS Program (canagliflozin), and VERTIS CV (ertugliflozin) have reported SGLT2i to be associated with reductions in major adverse cardiovascular events (MACE) with hazard ratio (HRs) of 0.86 to 0.97</w:t>
      </w:r>
      <w:r>
        <w:rPr>
          <w:rFonts w:ascii="Times New Roman" w:eastAsia="Times New Roman" w:hAnsi="Times New Roman" w:cs="Times New Roman"/>
          <w:sz w:val="24"/>
          <w:szCs w:val="24"/>
        </w:rPr>
        <w:t xml:space="preserve"> compared to placebo </w:t>
      </w:r>
      <w:hyperlink r:id="rId8">
        <w:r>
          <w:rPr>
            <w:rFonts w:ascii="Times New Roman" w:eastAsia="Times New Roman" w:hAnsi="Times New Roman" w:cs="Times New Roman"/>
            <w:color w:val="000000"/>
            <w:sz w:val="24"/>
            <w:szCs w:val="24"/>
          </w:rPr>
          <w:t>[5–7]</w:t>
        </w:r>
      </w:hyperlink>
      <w:r>
        <w:rPr>
          <w:rFonts w:ascii="Times New Roman" w:eastAsia="Times New Roman" w:hAnsi="Times New Roman" w:cs="Times New Roman"/>
          <w:sz w:val="24"/>
          <w:szCs w:val="24"/>
        </w:rPr>
        <w:t xml:space="preserve">. Meta-analyses of COVTs confirm a cumulative risk reduction in MACE ranging from 10% to 14% in favor of SGLT2 inhibitors compared to placebo, and an even greater reduction in cardiovascular hospitalizations due to heart failure (overall 35% to 38%), independent of baseline glycemic control </w:t>
      </w:r>
      <w:hyperlink r:id="rId9">
        <w:r>
          <w:rPr>
            <w:rFonts w:ascii="Times New Roman" w:eastAsia="Times New Roman" w:hAnsi="Times New Roman" w:cs="Times New Roman"/>
            <w:color w:val="000000"/>
            <w:sz w:val="24"/>
            <w:szCs w:val="24"/>
          </w:rPr>
          <w:t>[8–10]</w:t>
        </w:r>
      </w:hyperlink>
      <w:r>
        <w:rPr>
          <w:rFonts w:ascii="Times New Roman" w:eastAsia="Times New Roman" w:hAnsi="Times New Roman" w:cs="Times New Roman"/>
          <w:sz w:val="24"/>
          <w:szCs w:val="24"/>
        </w:rPr>
        <w:t>.</w:t>
      </w:r>
    </w:p>
    <w:p w14:paraId="00000011" w14:textId="77777777" w:rsidR="005C52CF" w:rsidRDefault="00C36C3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Statins are considered the cornerstone of ASCVD prevention in T2DM due to their lipid-lowering and pleiotropic effects </w:t>
      </w:r>
      <w:hyperlink r:id="rId10">
        <w:r>
          <w:rPr>
            <w:rFonts w:ascii="Times New Roman" w:eastAsia="Times New Roman" w:hAnsi="Times New Roman" w:cs="Times New Roman"/>
            <w:color w:val="000000"/>
            <w:sz w:val="24"/>
            <w:szCs w:val="24"/>
          </w:rPr>
          <w:t>[11]</w:t>
        </w:r>
      </w:hyperlink>
      <w:r>
        <w:rPr>
          <w:rFonts w:ascii="Times New Roman" w:eastAsia="Times New Roman" w:hAnsi="Times New Roman" w:cs="Times New Roman"/>
          <w:sz w:val="24"/>
          <w:szCs w:val="24"/>
        </w:rPr>
        <w:t xml:space="preserve">. In addition, biologically plausible interactions with SGLT2 inhibitors may exist, as statins could potentially attenuate or enhance SGLT2 inhibitors mechanisms involving hemodynamic improvements, metabolic shifts, or inflammation </w:t>
      </w:r>
      <w:hyperlink r:id="rId11">
        <w:r>
          <w:rPr>
            <w:rFonts w:ascii="Times New Roman" w:eastAsia="Times New Roman" w:hAnsi="Times New Roman" w:cs="Times New Roman"/>
            <w:color w:val="000000"/>
            <w:sz w:val="24"/>
            <w:szCs w:val="24"/>
          </w:rPr>
          <w:t>[5–7]</w:t>
        </w:r>
      </w:hyperlink>
      <w:r>
        <w:rPr>
          <w:rFonts w:ascii="Times New Roman" w:eastAsia="Times New Roman" w:hAnsi="Times New Roman" w:cs="Times New Roman"/>
          <w:sz w:val="24"/>
          <w:szCs w:val="24"/>
        </w:rPr>
        <w:t xml:space="preserve">. Across major COVTs, Baseline statin use was notably high ranging from approximately 75.2% in the CANVAS Program to 81.6% in VERTIS CV </w:t>
      </w:r>
      <w:hyperlink r:id="rId12">
        <w:r>
          <w:rPr>
            <w:rFonts w:ascii="Times New Roman" w:eastAsia="Times New Roman" w:hAnsi="Times New Roman" w:cs="Times New Roman"/>
            <w:color w:val="000000"/>
            <w:sz w:val="24"/>
            <w:szCs w:val="24"/>
          </w:rPr>
          <w:t>[5–7]</w:t>
        </w:r>
      </w:hyperlink>
      <w:r>
        <w:rPr>
          <w:rFonts w:ascii="Times New Roman" w:eastAsia="Times New Roman" w:hAnsi="Times New Roman" w:cs="Times New Roman"/>
          <w:sz w:val="24"/>
          <w:szCs w:val="24"/>
        </w:rPr>
        <w:t xml:space="preserve">. However, these trials were not powered to detect effect modification by concomitant therapies. </w:t>
      </w:r>
    </w:p>
    <w:p w14:paraId="00000012" w14:textId="77777777" w:rsidR="005C52CF" w:rsidRDefault="00C36C3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previous meta-analyses have explored heterogeneity by baseline CVD status, heart failure, or renal function, no meta-analysis have systematically examined trial-level statin prevalence as a covariate </w:t>
      </w:r>
      <w:hyperlink r:id="rId13">
        <w:r>
          <w:rPr>
            <w:rFonts w:ascii="Times New Roman" w:eastAsia="Times New Roman" w:hAnsi="Times New Roman" w:cs="Times New Roman"/>
            <w:color w:val="000000"/>
            <w:sz w:val="24"/>
            <w:szCs w:val="24"/>
          </w:rPr>
          <w:t>[8–10]</w:t>
        </w:r>
      </w:hyperlink>
      <w:r>
        <w:rPr>
          <w:rFonts w:ascii="Times New Roman" w:eastAsia="Times New Roman" w:hAnsi="Times New Roman" w:cs="Times New Roman"/>
          <w:sz w:val="24"/>
          <w:szCs w:val="24"/>
        </w:rPr>
        <w:t xml:space="preserve">, representing an important underexplored source of heterogeneity. To address this </w:t>
      </w:r>
      <w:r>
        <w:rPr>
          <w:rFonts w:ascii="Times New Roman" w:eastAsia="Times New Roman" w:hAnsi="Times New Roman" w:cs="Times New Roman"/>
          <w:sz w:val="24"/>
          <w:szCs w:val="24"/>
        </w:rPr>
        <w:lastRenderedPageBreak/>
        <w:t>gap, we conducted an exploratory meta-regression analysis to estimate whether trial-level prevalence of statin therapy modifies the relative risk reduction of MACE with SGLT2 inhibitors versus placebo in patients with T2DM from the major placebo-controlled phase III CVOTs. Secondary objectives include repeating analyses for individual MACE components (cardiovascular death, non-fatal myocardial infarction, non-fatal stroke). T</w:t>
      </w:r>
      <w:r>
        <w:rPr>
          <w:rFonts w:ascii="Times New Roman" w:eastAsia="Times New Roman" w:hAnsi="Times New Roman" w:cs="Times New Roman"/>
          <w:sz w:val="24"/>
          <w:szCs w:val="24"/>
        </w:rPr>
        <w:t xml:space="preserve">his approach leverages </w:t>
      </w:r>
      <w:proofErr w:type="gramStart"/>
      <w:r>
        <w:rPr>
          <w:rFonts w:ascii="Times New Roman" w:eastAsia="Times New Roman" w:hAnsi="Times New Roman" w:cs="Times New Roman"/>
          <w:sz w:val="24"/>
          <w:szCs w:val="24"/>
        </w:rPr>
        <w:t>between-trial</w:t>
      </w:r>
      <w:proofErr w:type="gramEnd"/>
      <w:r>
        <w:rPr>
          <w:rFonts w:ascii="Times New Roman" w:eastAsia="Times New Roman" w:hAnsi="Times New Roman" w:cs="Times New Roman"/>
          <w:sz w:val="24"/>
          <w:szCs w:val="24"/>
        </w:rPr>
        <w:t xml:space="preserve"> heterogeneity in statin </w:t>
      </w:r>
      <w:proofErr w:type="gramStart"/>
      <w:r>
        <w:rPr>
          <w:rFonts w:ascii="Times New Roman" w:eastAsia="Times New Roman" w:hAnsi="Times New Roman" w:cs="Times New Roman"/>
          <w:sz w:val="24"/>
          <w:szCs w:val="24"/>
        </w:rPr>
        <w:t>use</w:t>
      </w:r>
      <w:proofErr w:type="gramEnd"/>
      <w:r>
        <w:rPr>
          <w:rFonts w:ascii="Times New Roman" w:eastAsia="Times New Roman" w:hAnsi="Times New Roman" w:cs="Times New Roman"/>
          <w:sz w:val="24"/>
          <w:szCs w:val="24"/>
        </w:rPr>
        <w:t xml:space="preserve"> to reassess the cardiovascular effects of SGLT2 inhibitors.</w:t>
      </w:r>
    </w:p>
    <w:p w14:paraId="00000013" w14:textId="77777777" w:rsidR="005C52CF" w:rsidRDefault="00C36C31">
      <w:pPr>
        <w:spacing w:after="200"/>
        <w:jc w:val="both"/>
        <w:rPr>
          <w:rFonts w:ascii="Times New Roman" w:eastAsia="Times New Roman" w:hAnsi="Times New Roman" w:cs="Times New Roman"/>
          <w:sz w:val="24"/>
          <w:szCs w:val="24"/>
        </w:rPr>
      </w:pPr>
      <w:r>
        <w:pict w14:anchorId="56A46DB4">
          <v:rect id="_x0000_i1028" style="width:0;height:1.5pt" o:hralign="center" o:hrstd="t" o:hr="t" fillcolor="#a0a0a0" stroked="f"/>
        </w:pict>
      </w:r>
    </w:p>
    <w:p w14:paraId="00000014" w14:textId="77777777" w:rsidR="005C52CF" w:rsidRDefault="00C36C31">
      <w:pPr>
        <w:spacing w:after="2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Methods</w:t>
      </w:r>
    </w:p>
    <w:p w14:paraId="00000015" w14:textId="77777777" w:rsidR="005C52CF" w:rsidRDefault="00C36C31">
      <w:pPr>
        <w:spacing w:after="120"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conducted a systematic review and random-effects meta-analysis of randomized, placebo-controlled trials that examines the effect of sodium-glucose cotransporter-2 (SGLT2) inhibitors on major adverse cardiovascular events (MACE) in adults with type 2 diabetes mellitus (T2DM), with an exploratory meta-regression to assess potential modifying effect of trial-level baseline statin use. The protocol was registered in the International Prospective Register of Systematic Reviews (PROSPERO; CRD420261285616) </w:t>
      </w:r>
      <w:hyperlink r:id="rId14">
        <w:r>
          <w:rPr>
            <w:rFonts w:ascii="Times New Roman" w:eastAsia="Times New Roman" w:hAnsi="Times New Roman" w:cs="Times New Roman"/>
            <w:color w:val="000000"/>
            <w:sz w:val="24"/>
            <w:szCs w:val="24"/>
          </w:rPr>
          <w:t>[12]</w:t>
        </w:r>
      </w:hyperlink>
      <w:r>
        <w:rPr>
          <w:rFonts w:ascii="Times New Roman" w:eastAsia="Times New Roman" w:hAnsi="Times New Roman" w:cs="Times New Roman"/>
          <w:sz w:val="24"/>
          <w:szCs w:val="24"/>
        </w:rPr>
        <w:t xml:space="preserve">, and the study was reported according to Preferred Reporting Items for Systematic Reviews and Meta-Analyses (PRISMA) 2020 guidelines </w:t>
      </w:r>
      <w:hyperlink r:id="rId15">
        <w:r>
          <w:rPr>
            <w:rFonts w:ascii="Times New Roman" w:eastAsia="Times New Roman" w:hAnsi="Times New Roman" w:cs="Times New Roman"/>
            <w:color w:val="000000"/>
            <w:sz w:val="24"/>
            <w:szCs w:val="24"/>
          </w:rPr>
          <w:t>[13]</w:t>
        </w:r>
      </w:hyperlink>
      <w:r>
        <w:rPr>
          <w:rFonts w:ascii="Times New Roman" w:eastAsia="Times New Roman" w:hAnsi="Times New Roman" w:cs="Times New Roman"/>
          <w:sz w:val="24"/>
          <w:szCs w:val="24"/>
        </w:rPr>
        <w:t>.</w:t>
      </w:r>
    </w:p>
    <w:p w14:paraId="00000016" w14:textId="77777777" w:rsidR="005C52CF" w:rsidRDefault="00C36C31">
      <w:pPr>
        <w:spacing w:after="120" w:line="333"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Information Sources and Search Strategy</w:t>
      </w:r>
    </w:p>
    <w:p w14:paraId="00000017" w14:textId="77777777" w:rsidR="005C52CF" w:rsidRDefault="00C36C31">
      <w:pPr>
        <w:spacing w:after="120"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carried out a comprehensive electronic search of the literature using PubMed (MEDLINE), Scopus, Web of Science, and Cochrane Central Register of Controlled Trials (CENTRAL) databases from their inception up to January 5th, 2026. The search strategy was composed of keywords across four areas: (1) T2DM, (2) SGLT2 inhibitors (empagliflozin, canagliflozin, dapagliflozin, ertugliflozin), (3) MACE (cardiovascular death, myocardial infarction, stroke), and (4) randomized controlled trial. PubMed search strategy</w:t>
      </w:r>
      <w:r>
        <w:rPr>
          <w:rFonts w:ascii="Times New Roman" w:eastAsia="Times New Roman" w:hAnsi="Times New Roman" w:cs="Times New Roman"/>
          <w:sz w:val="24"/>
          <w:szCs w:val="24"/>
        </w:rPr>
        <w:t xml:space="preserve"> incorporated </w:t>
      </w:r>
      <w:proofErr w:type="spellStart"/>
      <w:r>
        <w:rPr>
          <w:rFonts w:ascii="Times New Roman" w:eastAsia="Times New Roman" w:hAnsi="Times New Roman" w:cs="Times New Roman"/>
          <w:sz w:val="24"/>
          <w:szCs w:val="24"/>
        </w:rPr>
        <w:t>MeSH</w:t>
      </w:r>
      <w:proofErr w:type="spellEnd"/>
      <w:r>
        <w:rPr>
          <w:rFonts w:ascii="Times New Roman" w:eastAsia="Times New Roman" w:hAnsi="Times New Roman" w:cs="Times New Roman"/>
          <w:sz w:val="24"/>
          <w:szCs w:val="24"/>
        </w:rPr>
        <w:t xml:space="preserve"> terms with field tags [</w:t>
      </w:r>
      <w:proofErr w:type="spellStart"/>
      <w:r>
        <w:rPr>
          <w:rFonts w:ascii="Times New Roman" w:eastAsia="Times New Roman" w:hAnsi="Times New Roman" w:cs="Times New Roman"/>
          <w:sz w:val="24"/>
          <w:szCs w:val="24"/>
        </w:rPr>
        <w:t>tiab</w:t>
      </w:r>
      <w:proofErr w:type="spellEnd"/>
      <w:r>
        <w:rPr>
          <w:rFonts w:ascii="Times New Roman" w:eastAsia="Times New Roman" w:hAnsi="Times New Roman" w:cs="Times New Roman"/>
          <w:sz w:val="24"/>
          <w:szCs w:val="24"/>
        </w:rPr>
        <w:t>]; Scopus used field tags for TITLE-ABS-KEY; Web of Science used TS= topic field restrictions; and CENTRAL used simplified keyword search without field tags, maximizing sensitivity. The search strategy strings are available in Supplementary Appendix 1.</w:t>
      </w:r>
    </w:p>
    <w:p w14:paraId="00000018" w14:textId="77777777" w:rsidR="005C52CF" w:rsidRDefault="00C36C31">
      <w:pPr>
        <w:spacing w:after="120" w:line="333"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Eligibility Criteria</w:t>
      </w:r>
    </w:p>
    <w:p w14:paraId="00000019" w14:textId="77777777" w:rsidR="005C52CF" w:rsidRDefault="00C36C31">
      <w:pPr>
        <w:spacing w:after="120"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established inclusion and exclusion criteria using the PICOS framework </w:t>
      </w:r>
      <w:hyperlink r:id="rId16">
        <w:r>
          <w:rPr>
            <w:rFonts w:ascii="Times New Roman" w:eastAsia="Times New Roman" w:hAnsi="Times New Roman" w:cs="Times New Roman"/>
            <w:color w:val="000000"/>
            <w:sz w:val="24"/>
            <w:szCs w:val="24"/>
          </w:rPr>
          <w:t>[14]</w:t>
        </w:r>
      </w:hyperlink>
      <w:r>
        <w:rPr>
          <w:rFonts w:ascii="Times New Roman" w:eastAsia="Times New Roman" w:hAnsi="Times New Roman" w:cs="Times New Roman"/>
          <w:sz w:val="24"/>
          <w:szCs w:val="24"/>
        </w:rPr>
        <w:t>:</w:t>
      </w:r>
    </w:p>
    <w:p w14:paraId="0000001A" w14:textId="77777777" w:rsidR="005C52CF" w:rsidRDefault="00C36C31">
      <w:pPr>
        <w:spacing w:after="120" w:line="333" w:lineRule="auto"/>
        <w:jc w:val="both"/>
        <w:rPr>
          <w:rFonts w:ascii="Times New Roman" w:eastAsia="Times New Roman" w:hAnsi="Times New Roman" w:cs="Times New Roman"/>
          <w:sz w:val="24"/>
          <w:szCs w:val="24"/>
        </w:rPr>
      </w:pPr>
      <w:r>
        <w:rPr>
          <w:rFonts w:ascii="Gungsuh" w:eastAsia="Gungsuh" w:hAnsi="Gungsuh" w:cs="Gungsuh"/>
          <w:sz w:val="24"/>
          <w:szCs w:val="24"/>
        </w:rPr>
        <w:t>Population: Adults (≥18 years) with type 2 diabetes mellitus (T2DM) and either established atherosclerotic cardiovascular disease (ASCVD) or at high cardiovascular risk.</w:t>
      </w:r>
    </w:p>
    <w:p w14:paraId="0000001B" w14:textId="77777777" w:rsidR="005C52CF" w:rsidRDefault="00C36C31">
      <w:pPr>
        <w:spacing w:after="120"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Intervention: SGLT2 inhibitors (empagliflozin, canagliflozin, dapagliflozin, ertugliflozin) administered at any dose.</w:t>
      </w:r>
    </w:p>
    <w:p w14:paraId="0000001C" w14:textId="77777777" w:rsidR="005C52CF" w:rsidRDefault="00C36C31">
      <w:pPr>
        <w:spacing w:after="120"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Comparator: Matching placebo.</w:t>
      </w:r>
    </w:p>
    <w:p w14:paraId="0000001D" w14:textId="77777777" w:rsidR="005C52CF" w:rsidRDefault="00C36C31">
      <w:pPr>
        <w:spacing w:after="120"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Outcomes: Primary outcome, 3-point composite MACE (cardiovascular death, non-fatal myocardial infarction, or non-fatal stroke). Secondary outcomes, individual MACE components.</w:t>
      </w:r>
    </w:p>
    <w:p w14:paraId="0000001E" w14:textId="77777777" w:rsidR="005C52CF" w:rsidRDefault="00C36C31">
      <w:pPr>
        <w:spacing w:after="120"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Study Design: Randomized, double-blind, placebo-controlled, phase III cardiovascular outcome trials.</w:t>
      </w:r>
    </w:p>
    <w:p w14:paraId="0000001F" w14:textId="77777777" w:rsidR="005C52CF" w:rsidRDefault="00C36C31">
      <w:pPr>
        <w:spacing w:after="120"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Non-randomized studies, active-comparator trials, phase I/II studies, trials without placebo control, trials not reporting MACE outcomes, trials without baseline statin use data, duplicate publications, and conference abstracts without sufficient data for extraction were all excluded.</w:t>
      </w:r>
    </w:p>
    <w:p w14:paraId="00000020" w14:textId="77777777" w:rsidR="005C52CF" w:rsidRDefault="00C36C31">
      <w:pPr>
        <w:spacing w:after="120" w:line="333"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Study Selection Process</w:t>
      </w:r>
    </w:p>
    <w:p w14:paraId="00000021" w14:textId="77777777" w:rsidR="005C52CF" w:rsidRDefault="00C36C31">
      <w:pPr>
        <w:spacing w:after="120"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retrieved citations were imported into the rayyan.ai software, where they were automatically deduplicated. Dual independent screening of titles/abstracts against eligibility criteria, followed by dual independent full-text review of potentially eligible studies. At each stage, discrepancies were resolved through discussion and consensus or adjudication by a third reviewer. The study selection process was summarized in a PRISMA 2020 flow diagram </w:t>
      </w:r>
      <w:hyperlink r:id="rId17">
        <w:r>
          <w:rPr>
            <w:rFonts w:ascii="Times New Roman" w:eastAsia="Times New Roman" w:hAnsi="Times New Roman" w:cs="Times New Roman"/>
            <w:color w:val="000000"/>
            <w:sz w:val="24"/>
            <w:szCs w:val="24"/>
          </w:rPr>
          <w:t>[13]</w:t>
        </w:r>
      </w:hyperlink>
      <w:r>
        <w:rPr>
          <w:rFonts w:ascii="Times New Roman" w:eastAsia="Times New Roman" w:hAnsi="Times New Roman" w:cs="Times New Roman"/>
          <w:sz w:val="24"/>
          <w:szCs w:val="24"/>
        </w:rPr>
        <w:t>.</w:t>
      </w:r>
    </w:p>
    <w:p w14:paraId="00000022" w14:textId="77777777" w:rsidR="005C52CF" w:rsidRDefault="00C36C31">
      <w:pPr>
        <w:spacing w:after="120" w:line="333"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 Extraction</w:t>
      </w:r>
    </w:p>
    <w:p w14:paraId="00000023" w14:textId="77777777" w:rsidR="005C52CF" w:rsidRDefault="00C36C31">
      <w:pPr>
        <w:spacing w:after="120"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Two investigators independently extracted trial-level data using a standardized electronic form, with discrepancies resolved by consensus. We extracted: (1) trial characteristics (first author, year, drug and dose, sample size, mean follow-up duration); (2) population characteristics (mean age, proportion female, baseline HbA1c, estimated glomerular filtration rate [eGFR], percentage with established ASCVD, percentage with prior heart failure); (3) medication prevalence (proportion of participants receiving</w:t>
      </w:r>
      <w:r>
        <w:rPr>
          <w:rFonts w:ascii="Times New Roman" w:eastAsia="Times New Roman" w:hAnsi="Times New Roman" w:cs="Times New Roman"/>
          <w:sz w:val="24"/>
          <w:szCs w:val="24"/>
        </w:rPr>
        <w:t xml:space="preserve"> statins at randomization in each treatment arm); and (4) effect estimates (hazard ratios [HRs] with 95% confidence intervals [CIs] for MACE and individual components).</w:t>
      </w:r>
    </w:p>
    <w:p w14:paraId="00000024" w14:textId="77777777" w:rsidR="005C52CF" w:rsidRDefault="00C36C31">
      <w:pPr>
        <w:spacing w:after="120" w:line="333"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Risk of Bias (Quality) Assessment</w:t>
      </w:r>
    </w:p>
    <w:p w14:paraId="00000025" w14:textId="77777777" w:rsidR="005C52CF" w:rsidRDefault="00C36C31">
      <w:pPr>
        <w:spacing w:after="120"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Methodological quality was evaluated using the Cochrane Risk of Bias tool for randomized trials (</w:t>
      </w:r>
      <w:proofErr w:type="spellStart"/>
      <w:r>
        <w:rPr>
          <w:rFonts w:ascii="Times New Roman" w:eastAsia="Times New Roman" w:hAnsi="Times New Roman" w:cs="Times New Roman"/>
          <w:sz w:val="24"/>
          <w:szCs w:val="24"/>
        </w:rPr>
        <w:t>RoB</w:t>
      </w:r>
      <w:proofErr w:type="spellEnd"/>
      <w:r>
        <w:rPr>
          <w:rFonts w:ascii="Times New Roman" w:eastAsia="Times New Roman" w:hAnsi="Times New Roman" w:cs="Times New Roman"/>
          <w:sz w:val="24"/>
          <w:szCs w:val="24"/>
        </w:rPr>
        <w:t xml:space="preserve"> 2.0) </w:t>
      </w:r>
      <w:hyperlink r:id="rId18">
        <w:r>
          <w:rPr>
            <w:rFonts w:ascii="Times New Roman" w:eastAsia="Times New Roman" w:hAnsi="Times New Roman" w:cs="Times New Roman"/>
            <w:color w:val="000000"/>
            <w:sz w:val="24"/>
            <w:szCs w:val="24"/>
          </w:rPr>
          <w:t>[15]</w:t>
        </w:r>
      </w:hyperlink>
      <w:r>
        <w:rPr>
          <w:rFonts w:ascii="Times New Roman" w:eastAsia="Times New Roman" w:hAnsi="Times New Roman" w:cs="Times New Roman"/>
          <w:sz w:val="24"/>
          <w:szCs w:val="24"/>
        </w:rPr>
        <w:t>, which assesses bias across five domains: the randomization process, deviations from intended interventions, missing outcome data, outcome measurement, and selective reporting. Two reviewers independently assessed each domain, with disagreements adjudicated by a third investigator.</w:t>
      </w:r>
    </w:p>
    <w:p w14:paraId="00000026" w14:textId="77777777" w:rsidR="005C52CF" w:rsidRDefault="00C36C31">
      <w:pPr>
        <w:spacing w:after="120" w:line="333"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Strategy for Data Synthesis</w:t>
      </w:r>
    </w:p>
    <w:p w14:paraId="00000027" w14:textId="77777777" w:rsidR="005C52CF" w:rsidRDefault="00C36C31">
      <w:pPr>
        <w:spacing w:after="120"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analyses were performed in R 4.3.2 using the meta package </w:t>
      </w:r>
      <w:hyperlink r:id="rId19">
        <w:r>
          <w:rPr>
            <w:rFonts w:ascii="Times New Roman" w:eastAsia="Times New Roman" w:hAnsi="Times New Roman" w:cs="Times New Roman"/>
            <w:color w:val="000000"/>
            <w:sz w:val="24"/>
            <w:szCs w:val="24"/>
          </w:rPr>
          <w:t>[16]</w:t>
        </w:r>
      </w:hyperlink>
      <w:r>
        <w:rPr>
          <w:rFonts w:ascii="Times New Roman" w:eastAsia="Times New Roman" w:hAnsi="Times New Roman" w:cs="Times New Roman"/>
          <w:sz w:val="24"/>
          <w:szCs w:val="24"/>
        </w:rPr>
        <w:t>. The primary model was a random-effects meta-analysis using the inverse-variance method (</w:t>
      </w:r>
      <w:proofErr w:type="spellStart"/>
      <w:r>
        <w:rPr>
          <w:rFonts w:ascii="Times New Roman" w:eastAsia="Times New Roman" w:hAnsi="Times New Roman" w:cs="Times New Roman"/>
          <w:sz w:val="24"/>
          <w:szCs w:val="24"/>
        </w:rPr>
        <w:t>metagen</w:t>
      </w:r>
      <w:proofErr w:type="spellEnd"/>
      <w:r>
        <w:rPr>
          <w:rFonts w:ascii="Times New Roman" w:eastAsia="Times New Roman" w:hAnsi="Times New Roman" w:cs="Times New Roman"/>
          <w:sz w:val="24"/>
          <w:szCs w:val="24"/>
        </w:rPr>
        <w:t xml:space="preserve">) </w:t>
      </w:r>
      <w:hyperlink r:id="rId20">
        <w:r>
          <w:rPr>
            <w:rFonts w:ascii="Times New Roman" w:eastAsia="Times New Roman" w:hAnsi="Times New Roman" w:cs="Times New Roman"/>
            <w:color w:val="000000"/>
            <w:sz w:val="24"/>
            <w:szCs w:val="24"/>
          </w:rPr>
          <w:t>[17]</w:t>
        </w:r>
      </w:hyperlink>
      <w:r>
        <w:rPr>
          <w:rFonts w:ascii="Times New Roman" w:eastAsia="Times New Roman" w:hAnsi="Times New Roman" w:cs="Times New Roman"/>
          <w:sz w:val="24"/>
          <w:szCs w:val="24"/>
        </w:rPr>
        <w:t>, with log(HR) as the effect size and standard errors derived from reported 95% confidence intervals. Meta-regression (</w:t>
      </w:r>
      <w:proofErr w:type="spellStart"/>
      <w:r>
        <w:rPr>
          <w:rFonts w:ascii="Times New Roman" w:eastAsia="Times New Roman" w:hAnsi="Times New Roman" w:cs="Times New Roman"/>
          <w:sz w:val="24"/>
          <w:szCs w:val="24"/>
        </w:rPr>
        <w:t>metareg</w:t>
      </w:r>
      <w:proofErr w:type="spellEnd"/>
      <w:r>
        <w:rPr>
          <w:rFonts w:ascii="Times New Roman" w:eastAsia="Times New Roman" w:hAnsi="Times New Roman" w:cs="Times New Roman"/>
          <w:sz w:val="24"/>
          <w:szCs w:val="24"/>
        </w:rPr>
        <w:t xml:space="preserve">) examined statin prevalence; bubble plots visualized results </w:t>
      </w:r>
      <w:hyperlink r:id="rId21">
        <w:r>
          <w:rPr>
            <w:rFonts w:ascii="Times New Roman" w:eastAsia="Times New Roman" w:hAnsi="Times New Roman" w:cs="Times New Roman"/>
            <w:color w:val="000000"/>
            <w:sz w:val="24"/>
            <w:szCs w:val="24"/>
          </w:rPr>
          <w:t>[18]</w:t>
        </w:r>
      </w:hyperlink>
      <w:r>
        <w:rPr>
          <w:rFonts w:ascii="Cardo" w:eastAsia="Cardo" w:hAnsi="Cardo" w:cs="Cardo"/>
          <w:sz w:val="24"/>
          <w:szCs w:val="24"/>
        </w:rPr>
        <w:t xml:space="preserve">. Leave-one-out sensitivity analyses were done. Meta-regression outputs included regression coefficients, residual heterogeneity (QE, </w:t>
      </w:r>
      <w:proofErr w:type="spellStart"/>
      <w:r>
        <w:rPr>
          <w:rFonts w:ascii="Cardo" w:eastAsia="Cardo" w:hAnsi="Cardo" w:cs="Cardo"/>
          <w:sz w:val="24"/>
          <w:szCs w:val="24"/>
        </w:rPr>
        <w:t>QEp</w:t>
      </w:r>
      <w:proofErr w:type="spellEnd"/>
      <w:r>
        <w:rPr>
          <w:rFonts w:ascii="Cardo" w:eastAsia="Cardo" w:hAnsi="Cardo" w:cs="Cardo"/>
          <w:sz w:val="24"/>
          <w:szCs w:val="24"/>
        </w:rPr>
        <w:t xml:space="preserve">), the moderation test (QM, </w:t>
      </w:r>
      <w:proofErr w:type="spellStart"/>
      <w:r>
        <w:rPr>
          <w:rFonts w:ascii="Cardo" w:eastAsia="Cardo" w:hAnsi="Cardo" w:cs="Cardo"/>
          <w:sz w:val="24"/>
          <w:szCs w:val="24"/>
        </w:rPr>
        <w:t>QMp</w:t>
      </w:r>
      <w:proofErr w:type="spellEnd"/>
      <w:r>
        <w:rPr>
          <w:rFonts w:ascii="Cardo" w:eastAsia="Cardo" w:hAnsi="Cardo" w:cs="Cardo"/>
          <w:sz w:val="24"/>
          <w:szCs w:val="24"/>
        </w:rPr>
        <w:t xml:space="preserve">), and R² representing the proportion of heterogeneity explained. Exploratory evidence of an association was defined as a slope β ≠ 0 with p &lt; .10 and at least a 50% reduction in τ² </w:t>
      </w:r>
      <w:hyperlink r:id="rId22">
        <w:r>
          <w:rPr>
            <w:rFonts w:ascii="Times New Roman" w:eastAsia="Times New Roman" w:hAnsi="Times New Roman" w:cs="Times New Roman"/>
            <w:color w:val="000000"/>
            <w:sz w:val="24"/>
            <w:szCs w:val="24"/>
          </w:rPr>
          <w:t>[19]</w:t>
        </w:r>
      </w:hyperlink>
      <w:r>
        <w:rPr>
          <w:rFonts w:ascii="Times New Roman" w:eastAsia="Times New Roman" w:hAnsi="Times New Roman" w:cs="Times New Roman"/>
          <w:sz w:val="24"/>
          <w:szCs w:val="24"/>
        </w:rPr>
        <w:t xml:space="preserve">. The limited number of trials (k &lt; 10) rendered formal assessment of publication bias impossible </w:t>
      </w:r>
      <w:hyperlink r:id="rId23">
        <w:r>
          <w:rPr>
            <w:rFonts w:ascii="Times New Roman" w:eastAsia="Times New Roman" w:hAnsi="Times New Roman" w:cs="Times New Roman"/>
            <w:color w:val="000000"/>
            <w:sz w:val="24"/>
            <w:szCs w:val="24"/>
          </w:rPr>
          <w:t>[20]</w:t>
        </w:r>
      </w:hyperlink>
      <w:r>
        <w:rPr>
          <w:rFonts w:ascii="Times New Roman" w:eastAsia="Times New Roman" w:hAnsi="Times New Roman" w:cs="Times New Roman"/>
          <w:sz w:val="24"/>
          <w:szCs w:val="24"/>
        </w:rPr>
        <w:t>.</w:t>
      </w:r>
    </w:p>
    <w:p w14:paraId="00000028" w14:textId="77777777" w:rsidR="005C52CF" w:rsidRDefault="00C36C31">
      <w:pPr>
        <w:spacing w:after="120" w:line="333"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Certainty of Evidence</w:t>
      </w:r>
    </w:p>
    <w:p w14:paraId="00000029" w14:textId="77777777" w:rsidR="005C52CF" w:rsidRDefault="00C36C31">
      <w:pPr>
        <w:spacing w:after="120" w:line="33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evaluated the certainty of evidence using the Grading of Recommendations Assessment, Development, and Evaluation (GRADE) framework </w:t>
      </w:r>
      <w:hyperlink r:id="rId24">
        <w:r>
          <w:rPr>
            <w:rFonts w:ascii="Times New Roman" w:eastAsia="Times New Roman" w:hAnsi="Times New Roman" w:cs="Times New Roman"/>
            <w:color w:val="000000"/>
            <w:sz w:val="24"/>
            <w:szCs w:val="24"/>
          </w:rPr>
          <w:t>[21]</w:t>
        </w:r>
      </w:hyperlink>
      <w:r>
        <w:rPr>
          <w:rFonts w:ascii="Times New Roman" w:eastAsia="Times New Roman" w:hAnsi="Times New Roman" w:cs="Times New Roman"/>
          <w:sz w:val="24"/>
          <w:szCs w:val="24"/>
        </w:rPr>
        <w:t>, considering risk of bias, consistency, directness, precision, and publication bias. The certainty of evidence was rated as high, moderate, low, or very low.</w:t>
      </w:r>
    </w:p>
    <w:p w14:paraId="0000002A" w14:textId="77777777" w:rsidR="005C52CF" w:rsidRDefault="00C36C31">
      <w:pPr>
        <w:spacing w:after="120" w:line="333" w:lineRule="auto"/>
        <w:jc w:val="both"/>
        <w:rPr>
          <w:rFonts w:ascii="Times New Roman" w:eastAsia="Times New Roman" w:hAnsi="Times New Roman" w:cs="Times New Roman"/>
          <w:b/>
          <w:bCs/>
          <w:sz w:val="18"/>
          <w:szCs w:val="18"/>
        </w:rPr>
      </w:pPr>
      <w:r>
        <w:pict w14:anchorId="61EB7248">
          <v:rect id="_x0000_i1029" style="width:0;height:1.5pt" o:hralign="center" o:hrstd="t" o:hr="t" fillcolor="#a0a0a0" stroked="f"/>
        </w:pict>
      </w:r>
    </w:p>
    <w:p w14:paraId="0000002B" w14:textId="77777777" w:rsidR="005C52CF" w:rsidRDefault="00C36C31">
      <w:pPr>
        <w:spacing w:after="2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w:t>
      </w:r>
    </w:p>
    <w:p w14:paraId="0000002C" w14:textId="77777777" w:rsidR="005C52CF" w:rsidRDefault="00C36C31">
      <w:pPr>
        <w:spacing w:after="2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Study Selection</w:t>
      </w:r>
    </w:p>
    <w:p w14:paraId="0000002D" w14:textId="77777777" w:rsidR="005C52CF" w:rsidRDefault="00C36C31">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systematic searches across 4 major databases yielded 192 records (MEDLINE/PubMed [24 articles], Scopus [72 articles], Web of Science [35 articles], and Cochrane CENTRAL [61 articles]). After removing 87 duplicates, 105 unique titles and abstracts were screened for eligibility. Of them, 100 records were excluded (wrong study design, wrong intervention, or lack of MACE data). Five full-text articles were assessed; two were excluded, and only three articles were included for the quantitative synthesis (Fig</w:t>
      </w:r>
      <w:r>
        <w:rPr>
          <w:rFonts w:ascii="Times New Roman" w:eastAsia="Times New Roman" w:hAnsi="Times New Roman" w:cs="Times New Roman"/>
          <w:sz w:val="24"/>
          <w:szCs w:val="24"/>
        </w:rPr>
        <w:t>ure 1).</w:t>
      </w:r>
    </w:p>
    <w:p w14:paraId="0000002E" w14:textId="77777777" w:rsidR="005C52CF" w:rsidRDefault="00C36C31">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Study Characteristics</w:t>
      </w:r>
    </w:p>
    <w:p w14:paraId="0000002F" w14:textId="77777777" w:rsidR="005C52CF" w:rsidRDefault="00C36C3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three included trial programs (encompassing four individual trials: EMPA-REG OUTCOME, VERTIS CV, and the CANVAS Program [which pooled CANVAS and CANVAS-R]) were multicenter, double-blind, placebo-controlled randomized trials that enrolled a total of 25,408 participants with type 2 diabetes mellitus (range: 7,020–10,142 participants per program). All programs included patients with established atherosclerotic cardiovascular disease or at high cardiovascular risk. The mean age across programs ranged from </w:t>
      </w:r>
      <w:r>
        <w:rPr>
          <w:rFonts w:ascii="Times New Roman" w:eastAsia="Times New Roman" w:hAnsi="Times New Roman" w:cs="Times New Roman"/>
          <w:sz w:val="24"/>
          <w:szCs w:val="24"/>
        </w:rPr>
        <w:t>63.1 to 64.4 years, with female representation between 28.5% and 35.8%. The mean duration of diabetes ranged from 13.0 to 13.5 years, and mean baseline HbA1c was consistently between 8.2% and 8.3% across studies. Follow-up duration ranged from 3.1 to 3.6 years (Table 1).</w:t>
      </w:r>
    </w:p>
    <w:p w14:paraId="00000030" w14:textId="77777777" w:rsidR="005C52CF" w:rsidRDefault="00C36C31">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Risk of Bias Assessment</w:t>
      </w:r>
    </w:p>
    <w:p w14:paraId="00000031" w14:textId="77777777" w:rsidR="005C52CF" w:rsidRDefault="00C36C3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three programs demonstrated low risk of bias across domains of randomization process, deviations from intended interventions, missing outcome data, and outcome measurement. Two programs (CANVAS Program and VERTIS CV) raised some concerns for selective reporting due to prespecified hierarchical testing sequences that were discontinued after the first nonsignificant result, potentially constraining statistical power for secondary outcomes. Overall, two programs were rated as low risk of bias and one trial</w:t>
      </w:r>
      <w:r>
        <w:rPr>
          <w:rFonts w:ascii="Times New Roman" w:eastAsia="Times New Roman" w:hAnsi="Times New Roman" w:cs="Times New Roman"/>
          <w:sz w:val="24"/>
          <w:szCs w:val="24"/>
        </w:rPr>
        <w:t xml:space="preserve"> as having some concerns (Table 2).</w:t>
      </w:r>
    </w:p>
    <w:p w14:paraId="00000032" w14:textId="77777777" w:rsidR="005C52CF" w:rsidRDefault="00C36C31">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Primary Outcome</w:t>
      </w:r>
    </w:p>
    <w:p w14:paraId="00000033" w14:textId="77777777" w:rsidR="005C52CF" w:rsidRDefault="00C36C31">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Major Adverse Cardiovascular Events</w:t>
      </w:r>
    </w:p>
    <w:p w14:paraId="00000034" w14:textId="77777777" w:rsidR="005C52CF" w:rsidRDefault="00C36C3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Across the three programs, 1,704 MACE events were recorded (1,102 in SGLT2-inhibitor arms vs 602 in placebo arms). The pooled hazard ratio was 0.90 (95 % CI 0.75-1.07; p = 0.113) with a random-effects inverse-variance model, indicating a non-significant 10 % relative-risk reduction. Heterogeneity was essentially absent (I² = 0 %, τ² = 0.0002).</w:t>
      </w:r>
    </w:p>
    <w:p w14:paraId="00000035" w14:textId="77777777" w:rsidR="005C52CF" w:rsidRDefault="00C36C3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Leave-one-out sensitivity analyses were stable: omission of VERTIS CV yielded the most </w:t>
      </w:r>
      <w:proofErr w:type="spellStart"/>
      <w:r>
        <w:rPr>
          <w:rFonts w:ascii="Times New Roman" w:eastAsia="Times New Roman" w:hAnsi="Times New Roman" w:cs="Times New Roman"/>
          <w:sz w:val="24"/>
          <w:szCs w:val="24"/>
        </w:rPr>
        <w:t>favourable</w:t>
      </w:r>
      <w:proofErr w:type="spellEnd"/>
      <w:r>
        <w:rPr>
          <w:rFonts w:ascii="Times New Roman" w:eastAsia="Times New Roman" w:hAnsi="Times New Roman" w:cs="Times New Roman"/>
          <w:sz w:val="24"/>
          <w:szCs w:val="24"/>
        </w:rPr>
        <w:t xml:space="preserve"> estimate (HR 0.86, 95 % CI 0.78-0.95), whereas removal of CANVAS Program or EMPA-REG OUTCOME gave similar, borderline-non-significant HRs of 0.92 (95 % CI 0.83-1.01) and 0.91 (95 % CI 0.83-1.00), respectively. Meta-regression showed a positive association between baseline statin-use prevalence and treatment effect (coefficient 0.0197, SE 0.0022; p = 0.071); the model explained 100 % of between-study heterogeneity (R² = 100 %), with each 1-percentage-point increase in statin use associated with a </w:t>
      </w:r>
      <w:r>
        <w:rPr>
          <w:rFonts w:ascii="Times New Roman" w:eastAsia="Times New Roman" w:hAnsi="Times New Roman" w:cs="Times New Roman"/>
          <w:sz w:val="24"/>
          <w:szCs w:val="24"/>
        </w:rPr>
        <w:t>2.0 % increase in the hazard ratio (95 % CI -0.2 % to 4.1 %).</w:t>
      </w:r>
    </w:p>
    <w:p w14:paraId="00000036" w14:textId="77777777" w:rsidR="005C52CF" w:rsidRDefault="00C36C31">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Secondary Outcomes</w:t>
      </w:r>
    </w:p>
    <w:p w14:paraId="00000037" w14:textId="77777777" w:rsidR="005C52CF" w:rsidRDefault="00C36C3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Nonfatal Myocardial Infarction</w:t>
      </w:r>
    </w:p>
    <w:p w14:paraId="00000038" w14:textId="77777777" w:rsidR="005C52CF" w:rsidRDefault="00C36C3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Seven hundred and ninety-seven events were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There was no significant effect of SGLT2 inhibitors (HR 0.92, 95 % CI 0.70-1.22; p = 0.343) and negligible heterogeneity (I² = 0.1 %, τ² = 0.0023). Meta-regression revealed a highly significant positive association with baseline statin use (coefficient 0.0316, SE 0.0003; p = 0.006); the model explained 100 % of heterogeneity (R² = 100 %), with each 1-percentage-point increase in statin prevalence corresponding to a 3.2 % increase in the hazard ratio (95 % CI 2.8 %-3.5 %).</w:t>
      </w:r>
    </w:p>
    <w:p w14:paraId="00000039" w14:textId="77777777" w:rsidR="005C52CF" w:rsidRDefault="00C36C31">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Nonfatal Stroke</w:t>
      </w:r>
    </w:p>
    <w:p w14:paraId="0000003A" w14:textId="77777777" w:rsidR="005C52CF" w:rsidRDefault="00C36C3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Pooling 581 events showed no significant effect (HR 1.02, 95 % CI 0.68-1.52; p = 0.848) with minimal heterogeneity (I² = 0.3 %, τ² = 0.0064). Meta-regression demonstrated no association with statin use (coefficient -0.0017, SE 0.0464; p = 0.976) and explained 0 % of heterogeneity (R² = 0 %).</w:t>
      </w:r>
    </w:p>
    <w:p w14:paraId="0000003B" w14:textId="77777777" w:rsidR="005C52CF" w:rsidRDefault="00C36C31">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Cardiovascular Death</w:t>
      </w:r>
    </w:p>
    <w:p w14:paraId="0000003C" w14:textId="77777777" w:rsidR="005C52CF" w:rsidRDefault="00C36C3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Seven hundred and fifty-five events were included. The pooled hazard ratio was 0.80 (95 % CI 0.47-1.35; p = 0.204) with low heterogeneity (I² = 0.7 %, τ² = 0.0325). Meta-regression showed no significant relation between statin-use prevalence and treatment effect (coefficient 0.0309, SE 0.0516; p = 0.657) and explained 0 % of heterogeneity (R² = 0 %).</w:t>
      </w:r>
    </w:p>
    <w:p w14:paraId="0000003D" w14:textId="77777777" w:rsidR="005C52CF" w:rsidRDefault="00C36C31">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GRADE Assessment</w:t>
      </w:r>
    </w:p>
    <w:p w14:paraId="0000003E" w14:textId="77777777" w:rsidR="005C52CF" w:rsidRDefault="00C36C3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evaluated the certainty of the findings from each meta-regression using the GRADE approach. The certainty of the evidence that baseline statin prevalence modifies the effect of SGLT-2 inhibitors across all four outcomes is very low. Some concerns exist for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three programs due to “early stopping”, “</w:t>
      </w:r>
      <w:proofErr w:type="gramStart"/>
      <w:r>
        <w:rPr>
          <w:rFonts w:ascii="Times New Roman" w:eastAsia="Times New Roman" w:hAnsi="Times New Roman" w:cs="Times New Roman"/>
          <w:sz w:val="24"/>
          <w:szCs w:val="24"/>
        </w:rPr>
        <w:t>hierarchical-testing</w:t>
      </w:r>
      <w:proofErr w:type="gramEnd"/>
      <w:r>
        <w:rPr>
          <w:rFonts w:ascii="Times New Roman" w:eastAsia="Times New Roman" w:hAnsi="Times New Roman" w:cs="Times New Roman"/>
          <w:sz w:val="24"/>
          <w:szCs w:val="24"/>
        </w:rPr>
        <w:t>”, and the narrow range of statin exposure of 75-82% across all regressions models had only three studies. Extreme levels of imprecision exist, dropping any study leaves zero residual degrees of freedom, and confidence intervals are compatible with both clinically important moderation and null effects. Inconsistency was judged moderate for stroke and substantial for cardiovascular death. Therefore, we downgraded each domain twice for im</w:t>
      </w:r>
      <w:r>
        <w:rPr>
          <w:rFonts w:ascii="Times New Roman" w:eastAsia="Times New Roman" w:hAnsi="Times New Roman" w:cs="Times New Roman"/>
          <w:sz w:val="24"/>
          <w:szCs w:val="24"/>
        </w:rPr>
        <w:t>precision and once for study limitations, with no upgrade factors applicable.</w:t>
      </w:r>
    </w:p>
    <w:p w14:paraId="0000003F" w14:textId="77777777" w:rsidR="005C52CF" w:rsidRDefault="00C36C31">
      <w:pPr>
        <w:spacing w:before="240" w:after="240"/>
        <w:jc w:val="both"/>
        <w:rPr>
          <w:rFonts w:ascii="Times New Roman" w:eastAsia="Times New Roman" w:hAnsi="Times New Roman" w:cs="Times New Roman"/>
          <w:sz w:val="24"/>
          <w:szCs w:val="24"/>
        </w:rPr>
      </w:pPr>
      <w:r>
        <w:pict w14:anchorId="4D1B7EFF">
          <v:rect id="_x0000_i1030" style="width:0;height:1.5pt" o:hralign="center" o:hrstd="t" o:hr="t" fillcolor="#a0a0a0" stroked="f"/>
        </w:pict>
      </w:r>
    </w:p>
    <w:p w14:paraId="00000040" w14:textId="77777777" w:rsidR="005C52CF" w:rsidRDefault="00C36C31">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14:paraId="00000041" w14:textId="77777777" w:rsidR="005C52CF" w:rsidRDefault="00C36C31">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Summary of the Main Findings</w:t>
      </w:r>
    </w:p>
    <w:p w14:paraId="00000042" w14:textId="77777777" w:rsidR="005C52CF" w:rsidRDefault="00C36C3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exploratory meta-regression analysis of the three key placebo-controlled cardiovascular outcome trial (CVOT) programs of sodium-glucose cotransporter-2 inhibitors (SGLT2i) in type 2 diabetes mellitus (T2DM), we observed a marginally significant risk reduction for major adverse cardiovascular events (MACE). However, trial-level data for baseline statin use accounted for 100% of the observed between-study variance. With each 1-percentage-point increase in statin use, a 2.0% decrease in the relative ri</w:t>
      </w:r>
      <w:r>
        <w:rPr>
          <w:rFonts w:ascii="Times New Roman" w:eastAsia="Times New Roman" w:hAnsi="Times New Roman" w:cs="Times New Roman"/>
          <w:sz w:val="24"/>
          <w:szCs w:val="24"/>
        </w:rPr>
        <w:t>sk reduction was observed. This was mainly driven by non-fatal myocardial infarction (MI), in which a highly significant interaction was observed for non-fatal MI endpoints. No significant interaction was observed for non-fatal stroke or cardiovascular death (CVD). GRADE certainty for interaction effect was very low due to imprecision, indirectness, and limited number of trials.</w:t>
      </w:r>
    </w:p>
    <w:p w14:paraId="00000043" w14:textId="77777777" w:rsidR="005C52CF" w:rsidRDefault="00C36C31">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Interpretation of the Main Findings in the Context of Existing Literature</w:t>
      </w:r>
    </w:p>
    <w:p w14:paraId="00000044" w14:textId="77777777" w:rsidR="005C52CF" w:rsidRDefault="00C36C3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new observation that the between-trial variance can entirely be accounted for by a single covariate, baseline statin use, implies that concurrent lipid-lowering therapy may blunt the incremental anti-</w:t>
      </w:r>
      <w:proofErr w:type="spellStart"/>
      <w:r>
        <w:rPr>
          <w:rFonts w:ascii="Times New Roman" w:eastAsia="Times New Roman" w:hAnsi="Times New Roman" w:cs="Times New Roman"/>
          <w:sz w:val="24"/>
          <w:szCs w:val="24"/>
        </w:rPr>
        <w:t>ischaemic</w:t>
      </w:r>
      <w:proofErr w:type="spellEnd"/>
      <w:r>
        <w:rPr>
          <w:rFonts w:ascii="Times New Roman" w:eastAsia="Times New Roman" w:hAnsi="Times New Roman" w:cs="Times New Roman"/>
          <w:sz w:val="24"/>
          <w:szCs w:val="24"/>
        </w:rPr>
        <w:t xml:space="preserve"> effect of SGLT2i. This interaction being specific to nonfatal MI, rather than stroke or CVD death, </w:t>
      </w:r>
      <w:proofErr w:type="spellStart"/>
      <w:r>
        <w:rPr>
          <w:rFonts w:ascii="Times New Roman" w:eastAsia="Times New Roman" w:hAnsi="Times New Roman" w:cs="Times New Roman"/>
          <w:sz w:val="24"/>
          <w:szCs w:val="24"/>
        </w:rPr>
        <w:t>favours</w:t>
      </w:r>
      <w:proofErr w:type="spellEnd"/>
      <w:r>
        <w:rPr>
          <w:rFonts w:ascii="Times New Roman" w:eastAsia="Times New Roman" w:hAnsi="Times New Roman" w:cs="Times New Roman"/>
          <w:sz w:val="24"/>
          <w:szCs w:val="24"/>
        </w:rPr>
        <w:t xml:space="preserve"> a biological rationale </w:t>
      </w:r>
      <w:proofErr w:type="spellStart"/>
      <w:r>
        <w:rPr>
          <w:rFonts w:ascii="Times New Roman" w:eastAsia="Times New Roman" w:hAnsi="Times New Roman" w:cs="Times New Roman"/>
          <w:sz w:val="24"/>
          <w:szCs w:val="24"/>
        </w:rPr>
        <w:t>centred</w:t>
      </w:r>
      <w:proofErr w:type="spellEnd"/>
      <w:r>
        <w:rPr>
          <w:rFonts w:ascii="Times New Roman" w:eastAsia="Times New Roman" w:hAnsi="Times New Roman" w:cs="Times New Roman"/>
          <w:sz w:val="24"/>
          <w:szCs w:val="24"/>
        </w:rPr>
        <w:t xml:space="preserve"> on atherothrombosis rather than heart failure or arrhythmogenesis. By lowering LDL-cholesterol and stabilizing coronary plaques, statins may reduce the residual </w:t>
      </w:r>
      <w:proofErr w:type="spellStart"/>
      <w:r>
        <w:rPr>
          <w:rFonts w:ascii="Times New Roman" w:eastAsia="Times New Roman" w:hAnsi="Times New Roman" w:cs="Times New Roman"/>
          <w:sz w:val="24"/>
          <w:szCs w:val="24"/>
        </w:rPr>
        <w:t>ischaemic</w:t>
      </w:r>
      <w:proofErr w:type="spellEnd"/>
      <w:r>
        <w:rPr>
          <w:rFonts w:ascii="Times New Roman" w:eastAsia="Times New Roman" w:hAnsi="Times New Roman" w:cs="Times New Roman"/>
          <w:sz w:val="24"/>
          <w:szCs w:val="24"/>
        </w:rPr>
        <w:t xml:space="preserve"> risk amenable to modulation by SGLT2is through </w:t>
      </w:r>
      <w:proofErr w:type="spellStart"/>
      <w:r>
        <w:rPr>
          <w:rFonts w:ascii="Times New Roman" w:eastAsia="Times New Roman" w:hAnsi="Times New Roman" w:cs="Times New Roman"/>
          <w:sz w:val="24"/>
          <w:szCs w:val="24"/>
        </w:rPr>
        <w:t>haemodynamic</w:t>
      </w:r>
      <w:proofErr w:type="spellEnd"/>
      <w:r>
        <w:rPr>
          <w:rFonts w:ascii="Times New Roman" w:eastAsia="Times New Roman" w:hAnsi="Times New Roman" w:cs="Times New Roman"/>
          <w:sz w:val="24"/>
          <w:szCs w:val="24"/>
        </w:rPr>
        <w:t xml:space="preserve">, metabolic, or anti-inflammatory mechanisms </w:t>
      </w:r>
      <w:hyperlink r:id="rId25">
        <w:r>
          <w:rPr>
            <w:rFonts w:ascii="Times New Roman" w:eastAsia="Times New Roman" w:hAnsi="Times New Roman" w:cs="Times New Roman"/>
            <w:color w:val="000000"/>
            <w:sz w:val="24"/>
            <w:szCs w:val="24"/>
          </w:rPr>
          <w:t>[5,6,11]</w:t>
        </w:r>
      </w:hyperlink>
      <w:r>
        <w:rPr>
          <w:rFonts w:ascii="Times New Roman" w:eastAsia="Times New Roman" w:hAnsi="Times New Roman" w:cs="Times New Roman"/>
          <w:sz w:val="24"/>
          <w:szCs w:val="24"/>
        </w:rPr>
        <w:t>. Thus, if the ‘background’ plaque-</w:t>
      </w:r>
      <w:proofErr w:type="spellStart"/>
      <w:r>
        <w:rPr>
          <w:rFonts w:ascii="Times New Roman" w:eastAsia="Times New Roman" w:hAnsi="Times New Roman" w:cs="Times New Roman"/>
          <w:sz w:val="24"/>
          <w:szCs w:val="24"/>
        </w:rPr>
        <w:t>stabilising</w:t>
      </w:r>
      <w:proofErr w:type="spellEnd"/>
      <w:r>
        <w:rPr>
          <w:rFonts w:ascii="Times New Roman" w:eastAsia="Times New Roman" w:hAnsi="Times New Roman" w:cs="Times New Roman"/>
          <w:sz w:val="24"/>
          <w:szCs w:val="24"/>
        </w:rPr>
        <w:t xml:space="preserve"> effect is near-saturated by high statin uptake, the incremental effect of SGLT2is on nonfatal MI may become marginal. The continuous, linear shape of the meta-regression further suggests that the interaction is not confined to extreme statin exposure levels but operates across the 75-82% range observed in modern CVOTs.</w:t>
      </w:r>
    </w:p>
    <w:p w14:paraId="00000045" w14:textId="77777777" w:rsidR="005C52CF" w:rsidRDefault="00C36C3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Biological plausibility is supported by preclinical evidence that statins can reduce SGLT2-mediated ketogenesis and potentially attenuate the </w:t>
      </w:r>
      <w:proofErr w:type="spellStart"/>
      <w:r>
        <w:rPr>
          <w:rFonts w:ascii="Times New Roman" w:eastAsia="Times New Roman" w:hAnsi="Times New Roman" w:cs="Times New Roman"/>
          <w:sz w:val="24"/>
          <w:szCs w:val="24"/>
        </w:rPr>
        <w:t>ischaemic</w:t>
      </w:r>
      <w:proofErr w:type="spellEnd"/>
      <w:r>
        <w:rPr>
          <w:rFonts w:ascii="Times New Roman" w:eastAsia="Times New Roman" w:hAnsi="Times New Roman" w:cs="Times New Roman"/>
          <w:sz w:val="24"/>
          <w:szCs w:val="24"/>
        </w:rPr>
        <w:t xml:space="preserve"> preconditioning effects attributed to SGLT2 inhibitors </w:t>
      </w:r>
      <w:hyperlink r:id="rId26">
        <w:r>
          <w:rPr>
            <w:rFonts w:ascii="Times New Roman" w:eastAsia="Times New Roman" w:hAnsi="Times New Roman" w:cs="Times New Roman"/>
            <w:color w:val="000000"/>
            <w:sz w:val="24"/>
            <w:szCs w:val="24"/>
          </w:rPr>
          <w:t>[22]</w:t>
        </w:r>
      </w:hyperlink>
      <w:r>
        <w:rPr>
          <w:rFonts w:ascii="Times New Roman" w:eastAsia="Times New Roman" w:hAnsi="Times New Roman" w:cs="Times New Roman"/>
          <w:sz w:val="24"/>
          <w:szCs w:val="24"/>
        </w:rPr>
        <w:t xml:space="preserve">. Statins also reduce C-reactive protein by 30-50%, potentially overlapping with the modest anti-inflammatory effects attributed to SGLT2 inhibitors </w:t>
      </w:r>
      <w:hyperlink r:id="rId27">
        <w:r>
          <w:rPr>
            <w:rFonts w:ascii="Times New Roman" w:eastAsia="Times New Roman" w:hAnsi="Times New Roman" w:cs="Times New Roman"/>
            <w:color w:val="000000"/>
            <w:sz w:val="24"/>
            <w:szCs w:val="24"/>
          </w:rPr>
          <w:t>[23]</w:t>
        </w:r>
      </w:hyperlink>
      <w:r>
        <w:rPr>
          <w:rFonts w:ascii="Times New Roman" w:eastAsia="Times New Roman" w:hAnsi="Times New Roman" w:cs="Times New Roman"/>
          <w:sz w:val="24"/>
          <w:szCs w:val="24"/>
        </w:rPr>
        <w:t>. Whether this overlap translates into loss of incremental clinical benefit deserves further scrutiny.</w:t>
      </w:r>
    </w:p>
    <w:p w14:paraId="00000046" w14:textId="77777777" w:rsidR="005C52CF" w:rsidRDefault="00C36C3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 meta-analyses either controlled for baseline cardiovascular risk or analyzed subgroups according to previous atherosclerotic cardiovascular disease (ASCVD), but not concomitant medications aside from antidiabetic agents </w:t>
      </w:r>
      <w:hyperlink r:id="rId28">
        <w:r>
          <w:rPr>
            <w:rFonts w:ascii="Times New Roman" w:eastAsia="Times New Roman" w:hAnsi="Times New Roman" w:cs="Times New Roman"/>
            <w:color w:val="000000"/>
            <w:sz w:val="24"/>
            <w:szCs w:val="24"/>
          </w:rPr>
          <w:t>[8]</w:t>
        </w:r>
      </w:hyperlink>
      <w:r>
        <w:rPr>
          <w:rFonts w:ascii="Times New Roman" w:eastAsia="Times New Roman" w:hAnsi="Times New Roman" w:cs="Times New Roman"/>
          <w:sz w:val="24"/>
          <w:szCs w:val="24"/>
        </w:rPr>
        <w:t xml:space="preserve">. However, a 2021 patient-level pooled analysis by McGuire et al. reported a consistent MACE benefit irrespective of baseline LDL-cholesterol, but neither analyzed statin intensity nor adherence </w:t>
      </w:r>
      <w:hyperlink r:id="rId29">
        <w:r>
          <w:rPr>
            <w:rFonts w:ascii="Times New Roman" w:eastAsia="Times New Roman" w:hAnsi="Times New Roman" w:cs="Times New Roman"/>
            <w:color w:val="000000"/>
            <w:sz w:val="24"/>
            <w:szCs w:val="24"/>
          </w:rPr>
          <w:t>[9]</w:t>
        </w:r>
      </w:hyperlink>
      <w:r>
        <w:rPr>
          <w:rFonts w:ascii="Gungsuh" w:eastAsia="Gungsuh" w:hAnsi="Gungsuh" w:cs="Gungsuh"/>
          <w:sz w:val="24"/>
          <w:szCs w:val="24"/>
        </w:rPr>
        <w:t xml:space="preserve">. Conversely, observational studies utilizing claims data have suggested heterogeneous SGLT2i benefits across patient subgroups. A Danish nationwide target trial emulation (n = 13,524) demonstrated that SGLT2 inhibitors reduced major adverse cardiovascular events by 2.8 percentage points compared with DPP4 inhibitors over three years, with notably larger absolute benefits observed in patients aged ≥65 years (risk difference 3.8 percentage points) compared with younger patients (0.2 percentage points) </w:t>
      </w:r>
      <w:hyperlink r:id="rId30">
        <w:r>
          <w:rPr>
            <w:rFonts w:ascii="Times New Roman" w:eastAsia="Times New Roman" w:hAnsi="Times New Roman" w:cs="Times New Roman"/>
            <w:color w:val="000000"/>
            <w:sz w:val="24"/>
            <w:szCs w:val="24"/>
          </w:rPr>
          <w:t>[24]</w:t>
        </w:r>
      </w:hyperlink>
      <w:r>
        <w:rPr>
          <w:rFonts w:ascii="Times New Roman" w:eastAsia="Times New Roman" w:hAnsi="Times New Roman" w:cs="Times New Roman"/>
          <w:sz w:val="24"/>
          <w:szCs w:val="24"/>
        </w:rPr>
        <w:t xml:space="preserve">. Similar findings emerged in the US Veterans Affairs database, wherein the hazard ratio for MI was 0.80 (95% CI 0.68-0.94) for statin-naïve users versus 0.93 (95% CI 0.81-1.07) for </w:t>
      </w:r>
      <w:proofErr w:type="gramStart"/>
      <w:r>
        <w:rPr>
          <w:rFonts w:ascii="Times New Roman" w:eastAsia="Times New Roman" w:hAnsi="Times New Roman" w:cs="Times New Roman"/>
          <w:sz w:val="24"/>
          <w:szCs w:val="24"/>
        </w:rPr>
        <w:t>statin</w:t>
      </w:r>
      <w:proofErr w:type="gramEnd"/>
      <w:r>
        <w:rPr>
          <w:rFonts w:ascii="Times New Roman" w:eastAsia="Times New Roman" w:hAnsi="Times New Roman" w:cs="Times New Roman"/>
          <w:sz w:val="24"/>
          <w:szCs w:val="24"/>
        </w:rPr>
        <w:t>-experienced users. However, these studies are subject to risks of bias related to indication and time-varying adherence. Our trial-level model mitigates these risks, albeit with reduced ecological inference.</w:t>
      </w:r>
    </w:p>
    <w:p w14:paraId="00000047" w14:textId="77777777" w:rsidR="005C52CF" w:rsidRDefault="00C36C31">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Strengths and limitations</w:t>
      </w:r>
    </w:p>
    <w:p w14:paraId="00000048" w14:textId="77777777" w:rsidR="005C52CF" w:rsidRDefault="00C36C3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strengths of this study include the comprehensive search strategy (four databases), adherence to PRISMA 2020 guidelines, combining random-effects models with influence diagnostics, and application of GRADE to appraise certainty </w:t>
      </w:r>
      <w:hyperlink r:id="rId31">
        <w:r>
          <w:rPr>
            <w:rFonts w:ascii="Times New Roman" w:eastAsia="Times New Roman" w:hAnsi="Times New Roman" w:cs="Times New Roman"/>
            <w:color w:val="000000"/>
            <w:sz w:val="24"/>
            <w:szCs w:val="24"/>
          </w:rPr>
          <w:t>[13]</w:t>
        </w:r>
      </w:hyperlink>
      <w:r>
        <w:rPr>
          <w:rFonts w:ascii="Times New Roman" w:eastAsia="Times New Roman" w:hAnsi="Times New Roman" w:cs="Times New Roman"/>
          <w:sz w:val="24"/>
          <w:szCs w:val="24"/>
        </w:rPr>
        <w:t>. The meta-regression explained 100% of heterogeneity with a single covariate, an uncommon finding that increases internal validity.</w:t>
      </w:r>
    </w:p>
    <w:p w14:paraId="00000049" w14:textId="77777777" w:rsidR="005C52CF" w:rsidRDefault="00C36C3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limitations deserve to be mentioned. First, the limited number of studies, only three programs met eligibility criteria, precluding multivariable meta-regression or formal publication bias assessment. Second, statin prevalence was </w:t>
      </w:r>
      <w:proofErr w:type="gramStart"/>
      <w:r>
        <w:rPr>
          <w:rFonts w:ascii="Times New Roman" w:eastAsia="Times New Roman" w:hAnsi="Times New Roman" w:cs="Times New Roman"/>
          <w:sz w:val="24"/>
          <w:szCs w:val="24"/>
        </w:rPr>
        <w:t>trial-level</w:t>
      </w:r>
      <w:proofErr w:type="gramEnd"/>
      <w:r>
        <w:rPr>
          <w:rFonts w:ascii="Times New Roman" w:eastAsia="Times New Roman" w:hAnsi="Times New Roman" w:cs="Times New Roman"/>
          <w:sz w:val="24"/>
          <w:szCs w:val="24"/>
        </w:rPr>
        <w:t xml:space="preserve"> extracted only at the </w:t>
      </w:r>
      <w:proofErr w:type="gramStart"/>
      <w:r>
        <w:rPr>
          <w:rFonts w:ascii="Times New Roman" w:eastAsia="Times New Roman" w:hAnsi="Times New Roman" w:cs="Times New Roman"/>
          <w:sz w:val="24"/>
          <w:szCs w:val="24"/>
        </w:rPr>
        <w:t>baseline;</w:t>
      </w:r>
      <w:proofErr w:type="gramEnd"/>
      <w:r>
        <w:rPr>
          <w:rFonts w:ascii="Times New Roman" w:eastAsia="Times New Roman" w:hAnsi="Times New Roman" w:cs="Times New Roman"/>
          <w:sz w:val="24"/>
          <w:szCs w:val="24"/>
        </w:rPr>
        <w:t xml:space="preserve"> overlooking statin intensity, adherence, or temporal changes during follow-up. Third, the narrow range of statin exposure (75-82%) restricts extrapolation to populations with lower uptake; this could have been avoided if we included DECLARE-TIMI 58 (59% baseline statin use), but it did not fully meet our inclusion criteria </w:t>
      </w:r>
      <w:hyperlink r:id="rId32">
        <w:r>
          <w:rPr>
            <w:rFonts w:ascii="Times New Roman" w:eastAsia="Times New Roman" w:hAnsi="Times New Roman" w:cs="Times New Roman"/>
            <w:color w:val="000000"/>
            <w:sz w:val="24"/>
            <w:szCs w:val="24"/>
          </w:rPr>
          <w:t>[25]</w:t>
        </w:r>
      </w:hyperlink>
      <w:r>
        <w:rPr>
          <w:rFonts w:ascii="Times New Roman" w:eastAsia="Times New Roman" w:hAnsi="Times New Roman" w:cs="Times New Roman"/>
          <w:sz w:val="24"/>
          <w:szCs w:val="24"/>
        </w:rPr>
        <w:t>. Fourth, patient-level covariates could not be adjusted for, raising the possibility of ecological fallacy. Finally, the interaction signal for MI, although statistically significant, is based on fewer than 800 events and should be considered hypothesis-generating.</w:t>
      </w:r>
    </w:p>
    <w:p w14:paraId="0000004A" w14:textId="77777777" w:rsidR="005C52CF" w:rsidRDefault="00C36C31">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Implications for research, practice and policy</w:t>
      </w:r>
    </w:p>
    <w:p w14:paraId="0000004B" w14:textId="77777777" w:rsidR="005C52CF" w:rsidRDefault="00C36C3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findings require patient-level pooled analyses to confirm the statin-SGLT2i interaction in MI. These analyses should include covariates for baseline LDL-cholesterol levels, type and dose of statins taken before study initiation, on-treatment LDL levels achieved, and time-varying adherence. Future CVOTs for SGLT2i (or dual SGLT1/2 inhibitors) should be stratified by the intensity of concomitant lipid-lowering therapies administered during trials and pre-specify subgroup analyses for MI. In addition to co</w:t>
      </w:r>
      <w:r>
        <w:rPr>
          <w:rFonts w:ascii="Times New Roman" w:eastAsia="Times New Roman" w:hAnsi="Times New Roman" w:cs="Times New Roman"/>
          <w:sz w:val="24"/>
          <w:szCs w:val="24"/>
        </w:rPr>
        <w:t>nfirmatory trials, mechanistic studies evaluating potential SGLT2i-induced attenuation of ketone body synthesis or vascular endothelial function in response to statins would provide additional insightful information. Lastly, emulation trials using large electronic health records with marginal structural models should investigate this interaction within real-world populations in which the uptake of statins is more heterogeneous.</w:t>
      </w:r>
    </w:p>
    <w:p w14:paraId="0000004C" w14:textId="77777777" w:rsidR="005C52CF" w:rsidRDefault="00C36C3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guidelines recommend SGLT2i with established cardiovascular benefit as part of comprehensive care for patients with T2DM and ASCVD, regardless of concomitant medication use </w:t>
      </w:r>
      <w:hyperlink r:id="rId33">
        <w:r>
          <w:rPr>
            <w:rFonts w:ascii="Times New Roman" w:eastAsia="Times New Roman" w:hAnsi="Times New Roman" w:cs="Times New Roman"/>
            <w:color w:val="000000"/>
            <w:sz w:val="24"/>
            <w:szCs w:val="24"/>
          </w:rPr>
          <w:t>[26]</w:t>
        </w:r>
      </w:hyperlink>
      <w:r>
        <w:rPr>
          <w:rFonts w:ascii="Times New Roman" w:eastAsia="Times New Roman" w:hAnsi="Times New Roman" w:cs="Times New Roman"/>
          <w:sz w:val="24"/>
          <w:szCs w:val="24"/>
        </w:rPr>
        <w:t xml:space="preserve">. Our exploratory findings do not challenge these recommendations, however, these findings argue that relative MI benefit may not be substantial in patients already receiving optimal statin therapy and that absolute risk reduction, and not relative risk, should guide decision-making. For a patient with baseline 10-year risk of ASCVD at 20%, a 10% relative composite MACE risk reduction would still provide 2% absolute risk reduction, comparable to, or superior to, that achieved by intensifying statin therapy </w:t>
      </w:r>
      <w:r>
        <w:rPr>
          <w:rFonts w:ascii="Times New Roman" w:eastAsia="Times New Roman" w:hAnsi="Times New Roman" w:cs="Times New Roman"/>
          <w:sz w:val="24"/>
          <w:szCs w:val="24"/>
        </w:rPr>
        <w:t xml:space="preserve">from moderate to high dose </w:t>
      </w:r>
      <w:hyperlink r:id="rId34">
        <w:r>
          <w:rPr>
            <w:rFonts w:ascii="Times New Roman" w:eastAsia="Times New Roman" w:hAnsi="Times New Roman" w:cs="Times New Roman"/>
            <w:color w:val="000000"/>
            <w:sz w:val="24"/>
            <w:szCs w:val="24"/>
          </w:rPr>
          <w:t>[27]</w:t>
        </w:r>
      </w:hyperlink>
      <w:r>
        <w:rPr>
          <w:rFonts w:ascii="Times New Roman" w:eastAsia="Times New Roman" w:hAnsi="Times New Roman" w:cs="Times New Roman"/>
          <w:sz w:val="24"/>
          <w:szCs w:val="24"/>
        </w:rPr>
        <w:t xml:space="preserve">. Therefore, SGLT2i should continue to be offered, but additional lipid-lowering therapies rather than further </w:t>
      </w:r>
      <w:proofErr w:type="gramStart"/>
      <w:r>
        <w:rPr>
          <w:rFonts w:ascii="Times New Roman" w:eastAsia="Times New Roman" w:hAnsi="Times New Roman" w:cs="Times New Roman"/>
          <w:sz w:val="24"/>
          <w:szCs w:val="24"/>
        </w:rPr>
        <w:t>SGLT2i dose</w:t>
      </w:r>
      <w:proofErr w:type="gramEnd"/>
      <w:r>
        <w:rPr>
          <w:rFonts w:ascii="Times New Roman" w:eastAsia="Times New Roman" w:hAnsi="Times New Roman" w:cs="Times New Roman"/>
          <w:sz w:val="24"/>
          <w:szCs w:val="24"/>
        </w:rPr>
        <w:t xml:space="preserve"> escalation be </w:t>
      </w:r>
      <w:proofErr w:type="spellStart"/>
      <w:r>
        <w:rPr>
          <w:rFonts w:ascii="Times New Roman" w:eastAsia="Times New Roman" w:hAnsi="Times New Roman" w:cs="Times New Roman"/>
          <w:sz w:val="24"/>
          <w:szCs w:val="24"/>
        </w:rPr>
        <w:t>prioritised</w:t>
      </w:r>
      <w:proofErr w:type="spellEnd"/>
      <w:r>
        <w:rPr>
          <w:rFonts w:ascii="Times New Roman" w:eastAsia="Times New Roman" w:hAnsi="Times New Roman" w:cs="Times New Roman"/>
          <w:sz w:val="24"/>
          <w:szCs w:val="24"/>
        </w:rPr>
        <w:t xml:space="preserve"> if residual </w:t>
      </w:r>
      <w:proofErr w:type="spellStart"/>
      <w:r>
        <w:rPr>
          <w:rFonts w:ascii="Times New Roman" w:eastAsia="Times New Roman" w:hAnsi="Times New Roman" w:cs="Times New Roman"/>
          <w:sz w:val="24"/>
          <w:szCs w:val="24"/>
        </w:rPr>
        <w:t>ischaemic</w:t>
      </w:r>
      <w:proofErr w:type="spellEnd"/>
      <w:r>
        <w:rPr>
          <w:rFonts w:ascii="Times New Roman" w:eastAsia="Times New Roman" w:hAnsi="Times New Roman" w:cs="Times New Roman"/>
          <w:sz w:val="24"/>
          <w:szCs w:val="24"/>
        </w:rPr>
        <w:t xml:space="preserve"> risk persists.</w:t>
      </w:r>
    </w:p>
    <w:p w14:paraId="0000004D" w14:textId="77777777" w:rsidR="005C52CF" w:rsidRDefault="00C36C3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Policymakers need to encourage individual participant data sharing to enable the optimal analysis of the effect modifiers, thereby refining budget-impact projections and value-based reimbursement thresholds. The payers and health-technology assessment bodies are increasingly calling for cost-effectiveness analyses conditioned on baseline risk and concomitant therapies. The findings of our analysis indicate that economic models assuming uniform relative risk reduction may overestimate the MI-specific benefit</w:t>
      </w:r>
      <w:r>
        <w:rPr>
          <w:rFonts w:ascii="Times New Roman" w:eastAsia="Times New Roman" w:hAnsi="Times New Roman" w:cs="Times New Roman"/>
          <w:sz w:val="24"/>
          <w:szCs w:val="24"/>
        </w:rPr>
        <w:t xml:space="preserve"> of SGLT2i in populations with high statin penetration.</w:t>
      </w:r>
    </w:p>
    <w:p w14:paraId="0000004E" w14:textId="77777777" w:rsidR="005C52CF" w:rsidRDefault="00C36C31">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0000004F" w14:textId="77777777" w:rsidR="005C52CF" w:rsidRDefault="00C36C31">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In this exploratory meta-regression of placebo-controlled SGLT2i CVOTs, higher trial-level baseline statin use was found to be associated with a blunting of relative risk reduction benefit in terms of MACE composite driven only by non-fatal myocardial infarction, while effect on non-fatal stroke and cardiovascular death remained directionally consistent. This interaction is biologically plausible, though statistically fragile, relying only on three programs with limited numbers of events. Prior to being pro</w:t>
      </w:r>
      <w:r>
        <w:rPr>
          <w:rFonts w:ascii="Times New Roman" w:eastAsia="Times New Roman" w:hAnsi="Times New Roman" w:cs="Times New Roman"/>
          <w:sz w:val="24"/>
          <w:szCs w:val="24"/>
        </w:rPr>
        <w:t>ven or debunked by patient-level data, it seems that trials of these life-saving drugs should remain a cornerstone of cardiovascular risk factor management in patients with type 2 diabetes, with the caveat that the incremental anti-</w:t>
      </w:r>
      <w:proofErr w:type="spellStart"/>
      <w:r>
        <w:rPr>
          <w:rFonts w:ascii="Times New Roman" w:eastAsia="Times New Roman" w:hAnsi="Times New Roman" w:cs="Times New Roman"/>
          <w:sz w:val="24"/>
          <w:szCs w:val="24"/>
        </w:rPr>
        <w:t>ischaemic</w:t>
      </w:r>
      <w:proofErr w:type="spellEnd"/>
      <w:r>
        <w:rPr>
          <w:rFonts w:ascii="Times New Roman" w:eastAsia="Times New Roman" w:hAnsi="Times New Roman" w:cs="Times New Roman"/>
          <w:sz w:val="24"/>
          <w:szCs w:val="24"/>
        </w:rPr>
        <w:t xml:space="preserve"> benefit may be modest among patients already receiving intensive statin therapy. Dedicated research is urgently needed to </w:t>
      </w:r>
      <w:proofErr w:type="spellStart"/>
      <w:r>
        <w:rPr>
          <w:rFonts w:ascii="Times New Roman" w:eastAsia="Times New Roman" w:hAnsi="Times New Roman" w:cs="Times New Roman"/>
          <w:sz w:val="24"/>
          <w:szCs w:val="24"/>
        </w:rPr>
        <w:t>personalise</w:t>
      </w:r>
      <w:proofErr w:type="spellEnd"/>
      <w:r>
        <w:rPr>
          <w:rFonts w:ascii="Times New Roman" w:eastAsia="Times New Roman" w:hAnsi="Times New Roman" w:cs="Times New Roman"/>
          <w:sz w:val="24"/>
          <w:szCs w:val="24"/>
        </w:rPr>
        <w:t xml:space="preserve"> the deployment of these life-saving drugs.</w:t>
      </w:r>
    </w:p>
    <w:p w14:paraId="00000050" w14:textId="77777777" w:rsidR="005C52CF" w:rsidRDefault="00C36C31">
      <w:pPr>
        <w:spacing w:before="240" w:after="240"/>
        <w:jc w:val="both"/>
        <w:rPr>
          <w:rFonts w:ascii="Times New Roman" w:eastAsia="Times New Roman" w:hAnsi="Times New Roman" w:cs="Times New Roman"/>
          <w:b/>
          <w:bCs/>
          <w:sz w:val="24"/>
          <w:szCs w:val="24"/>
        </w:rPr>
      </w:pPr>
      <w:r>
        <w:pict w14:anchorId="48C9221D">
          <v:rect id="_x0000_i1031" style="width:0;height:1.5pt" o:hralign="center" o:hrstd="t" o:hr="t" fillcolor="#a0a0a0" stroked="f"/>
        </w:pict>
      </w:r>
    </w:p>
    <w:p w14:paraId="00000051" w14:textId="77777777" w:rsidR="005C52CF" w:rsidRDefault="00C36C31">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00000052" w14:textId="77777777" w:rsidR="005C52CF" w:rsidRDefault="00C36C31">
      <w:pPr>
        <w:widowControl w:val="0"/>
        <w:pBdr>
          <w:top w:val="nil"/>
          <w:left w:val="nil"/>
          <w:bottom w:val="nil"/>
          <w:right w:val="nil"/>
          <w:between w:val="nil"/>
        </w:pBdr>
        <w:spacing w:before="240"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hyperlink r:id="rId35">
        <w:r>
          <w:rPr>
            <w:rFonts w:ascii="Times New Roman" w:eastAsia="Times New Roman" w:hAnsi="Times New Roman" w:cs="Times New Roman"/>
            <w:color w:val="000000"/>
            <w:sz w:val="24"/>
            <w:szCs w:val="24"/>
          </w:rPr>
          <w:t xml:space="preserve">Duncan BB, Magliano DJ, Boyko EJ. IDF Diabetes Atlas 11th edition 2025: global prevalence and projections for 2050. Nephrol Dial Transplant </w:t>
        </w:r>
        <w:proofErr w:type="gramStart"/>
        <w:r>
          <w:rPr>
            <w:rFonts w:ascii="Times New Roman" w:eastAsia="Times New Roman" w:hAnsi="Times New Roman" w:cs="Times New Roman"/>
            <w:color w:val="000000"/>
            <w:sz w:val="24"/>
            <w:szCs w:val="24"/>
          </w:rPr>
          <w:t>2025;41:7</w:t>
        </w:r>
        <w:proofErr w:type="gramEnd"/>
        <w:r>
          <w:rPr>
            <w:rFonts w:ascii="Times New Roman" w:eastAsia="Times New Roman" w:hAnsi="Times New Roman" w:cs="Times New Roman"/>
            <w:color w:val="000000"/>
            <w:sz w:val="24"/>
            <w:szCs w:val="24"/>
          </w:rPr>
          <w:t>–9.</w:t>
        </w:r>
      </w:hyperlink>
    </w:p>
    <w:p w14:paraId="00000053"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hyperlink r:id="rId36">
        <w:r>
          <w:rPr>
            <w:rFonts w:ascii="Times New Roman" w:eastAsia="Times New Roman" w:hAnsi="Times New Roman" w:cs="Times New Roman"/>
            <w:color w:val="000000"/>
            <w:sz w:val="24"/>
            <w:szCs w:val="24"/>
          </w:rPr>
          <w:t xml:space="preserve">Einarson TR, Acs A, Ludwig C, Panton UH. Prevalence of cardiovascular disease in type 2 diabetes: a systematic literature review of scientific evidence from across the world in 2007-2017. Cardiovasc </w:t>
        </w:r>
        <w:proofErr w:type="spellStart"/>
        <w:r>
          <w:rPr>
            <w:rFonts w:ascii="Times New Roman" w:eastAsia="Times New Roman" w:hAnsi="Times New Roman" w:cs="Times New Roman"/>
            <w:color w:val="000000"/>
            <w:sz w:val="24"/>
            <w:szCs w:val="24"/>
          </w:rPr>
          <w:t>Diabetol</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2018;17:83</w:t>
        </w:r>
        <w:proofErr w:type="gramEnd"/>
        <w:r>
          <w:rPr>
            <w:rFonts w:ascii="Times New Roman" w:eastAsia="Times New Roman" w:hAnsi="Times New Roman" w:cs="Times New Roman"/>
            <w:color w:val="000000"/>
            <w:sz w:val="24"/>
            <w:szCs w:val="24"/>
          </w:rPr>
          <w:t>.</w:t>
        </w:r>
      </w:hyperlink>
    </w:p>
    <w:p w14:paraId="00000054"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hyperlink r:id="rId37">
        <w:r>
          <w:rPr>
            <w:rFonts w:ascii="Times New Roman" w:eastAsia="Times New Roman" w:hAnsi="Times New Roman" w:cs="Times New Roman"/>
            <w:color w:val="000000"/>
            <w:sz w:val="24"/>
            <w:szCs w:val="24"/>
          </w:rPr>
          <w:t>Diabetes fact sheet n.d.</w:t>
        </w:r>
      </w:hyperlink>
    </w:p>
    <w:p w14:paraId="00000055"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r>
      <w:hyperlink r:id="rId38">
        <w:r>
          <w:rPr>
            <w:rFonts w:ascii="Times New Roman" w:eastAsia="Times New Roman" w:hAnsi="Times New Roman" w:cs="Times New Roman"/>
            <w:color w:val="000000"/>
            <w:sz w:val="24"/>
            <w:szCs w:val="24"/>
          </w:rPr>
          <w:t>10. Cardiovascular Disease and Risk Management n.d.</w:t>
        </w:r>
      </w:hyperlink>
    </w:p>
    <w:p w14:paraId="00000056"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r>
      <w:hyperlink r:id="rId39">
        <w:r>
          <w:rPr>
            <w:rFonts w:ascii="Times New Roman" w:eastAsia="Times New Roman" w:hAnsi="Times New Roman" w:cs="Times New Roman"/>
            <w:color w:val="000000"/>
            <w:sz w:val="24"/>
            <w:szCs w:val="24"/>
          </w:rPr>
          <w:t xml:space="preserve">Zinman B, </w:t>
        </w:r>
        <w:proofErr w:type="spellStart"/>
        <w:r>
          <w:rPr>
            <w:rFonts w:ascii="Times New Roman" w:eastAsia="Times New Roman" w:hAnsi="Times New Roman" w:cs="Times New Roman"/>
            <w:color w:val="000000"/>
            <w:sz w:val="24"/>
            <w:szCs w:val="24"/>
          </w:rPr>
          <w:t>Wanner</w:t>
        </w:r>
        <w:proofErr w:type="spellEnd"/>
        <w:r>
          <w:rPr>
            <w:rFonts w:ascii="Times New Roman" w:eastAsia="Times New Roman" w:hAnsi="Times New Roman" w:cs="Times New Roman"/>
            <w:color w:val="000000"/>
            <w:sz w:val="24"/>
            <w:szCs w:val="24"/>
          </w:rPr>
          <w:t xml:space="preserve"> C, Lachin JM, Fitchett D, Bluhmki E, </w:t>
        </w:r>
        <w:proofErr w:type="spellStart"/>
        <w:r>
          <w:rPr>
            <w:rFonts w:ascii="Times New Roman" w:eastAsia="Times New Roman" w:hAnsi="Times New Roman" w:cs="Times New Roman"/>
            <w:color w:val="000000"/>
            <w:sz w:val="24"/>
            <w:szCs w:val="24"/>
          </w:rPr>
          <w:t>Hantel</w:t>
        </w:r>
        <w:proofErr w:type="spellEnd"/>
        <w:r>
          <w:rPr>
            <w:rFonts w:ascii="Times New Roman" w:eastAsia="Times New Roman" w:hAnsi="Times New Roman" w:cs="Times New Roman"/>
            <w:color w:val="000000"/>
            <w:sz w:val="24"/>
            <w:szCs w:val="24"/>
          </w:rPr>
          <w:t xml:space="preserve"> S, et al. Empagliflozin, cardiovascular outcomes, and mortality in type 2 diabetes. N Engl J Med </w:t>
        </w:r>
        <w:proofErr w:type="gramStart"/>
        <w:r>
          <w:rPr>
            <w:rFonts w:ascii="Times New Roman" w:eastAsia="Times New Roman" w:hAnsi="Times New Roman" w:cs="Times New Roman"/>
            <w:color w:val="000000"/>
            <w:sz w:val="24"/>
            <w:szCs w:val="24"/>
          </w:rPr>
          <w:t>2015;373:2117</w:t>
        </w:r>
        <w:proofErr w:type="gramEnd"/>
        <w:r>
          <w:rPr>
            <w:rFonts w:ascii="Times New Roman" w:eastAsia="Times New Roman" w:hAnsi="Times New Roman" w:cs="Times New Roman"/>
            <w:color w:val="000000"/>
            <w:sz w:val="24"/>
            <w:szCs w:val="24"/>
          </w:rPr>
          <w:t>–28.</w:t>
        </w:r>
      </w:hyperlink>
    </w:p>
    <w:p w14:paraId="00000057"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r>
      <w:hyperlink r:id="rId40">
        <w:r>
          <w:rPr>
            <w:rFonts w:ascii="Times New Roman" w:eastAsia="Times New Roman" w:hAnsi="Times New Roman" w:cs="Times New Roman"/>
            <w:color w:val="000000"/>
            <w:sz w:val="24"/>
            <w:szCs w:val="24"/>
          </w:rPr>
          <w:t xml:space="preserve">Neal B, Perkovic V, Matthews DR. Canagliflozin and cardiovascular and renal events in type 2 diabetes. N Engl J Med </w:t>
        </w:r>
        <w:proofErr w:type="gramStart"/>
        <w:r>
          <w:rPr>
            <w:rFonts w:ascii="Times New Roman" w:eastAsia="Times New Roman" w:hAnsi="Times New Roman" w:cs="Times New Roman"/>
            <w:color w:val="000000"/>
            <w:sz w:val="24"/>
            <w:szCs w:val="24"/>
          </w:rPr>
          <w:t>2017;377:2099</w:t>
        </w:r>
        <w:proofErr w:type="gramEnd"/>
        <w:r>
          <w:rPr>
            <w:rFonts w:ascii="Times New Roman" w:eastAsia="Times New Roman" w:hAnsi="Times New Roman" w:cs="Times New Roman"/>
            <w:color w:val="000000"/>
            <w:sz w:val="24"/>
            <w:szCs w:val="24"/>
          </w:rPr>
          <w:t>.</w:t>
        </w:r>
      </w:hyperlink>
    </w:p>
    <w:p w14:paraId="00000058"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r>
      <w:hyperlink r:id="rId41">
        <w:r>
          <w:rPr>
            <w:rFonts w:ascii="Times New Roman" w:eastAsia="Times New Roman" w:hAnsi="Times New Roman" w:cs="Times New Roman"/>
            <w:color w:val="000000"/>
            <w:sz w:val="24"/>
            <w:szCs w:val="24"/>
          </w:rPr>
          <w:t xml:space="preserve">Cannon CP, Pratley R, </w:t>
        </w:r>
        <w:proofErr w:type="spellStart"/>
        <w:r>
          <w:rPr>
            <w:rFonts w:ascii="Times New Roman" w:eastAsia="Times New Roman" w:hAnsi="Times New Roman" w:cs="Times New Roman"/>
            <w:color w:val="000000"/>
            <w:sz w:val="24"/>
            <w:szCs w:val="24"/>
          </w:rPr>
          <w:t>Dagogo</w:t>
        </w:r>
        <w:proofErr w:type="spellEnd"/>
        <w:r>
          <w:rPr>
            <w:rFonts w:ascii="Times New Roman" w:eastAsia="Times New Roman" w:hAnsi="Times New Roman" w:cs="Times New Roman"/>
            <w:color w:val="000000"/>
            <w:sz w:val="24"/>
            <w:szCs w:val="24"/>
          </w:rPr>
          <w:t xml:space="preserve">-Jack S, Mancuso J, Huyck S, </w:t>
        </w:r>
        <w:proofErr w:type="spellStart"/>
        <w:r>
          <w:rPr>
            <w:rFonts w:ascii="Times New Roman" w:eastAsia="Times New Roman" w:hAnsi="Times New Roman" w:cs="Times New Roman"/>
            <w:color w:val="000000"/>
            <w:sz w:val="24"/>
            <w:szCs w:val="24"/>
          </w:rPr>
          <w:t>Masiukiewicz</w:t>
        </w:r>
        <w:proofErr w:type="spellEnd"/>
        <w:r>
          <w:rPr>
            <w:rFonts w:ascii="Times New Roman" w:eastAsia="Times New Roman" w:hAnsi="Times New Roman" w:cs="Times New Roman"/>
            <w:color w:val="000000"/>
            <w:sz w:val="24"/>
            <w:szCs w:val="24"/>
          </w:rPr>
          <w:t xml:space="preserve"> U, et al. Cardiovascular outcomes with ertugliflozin in type 2 diabetes. N Engl J Med </w:t>
        </w:r>
        <w:proofErr w:type="gramStart"/>
        <w:r>
          <w:rPr>
            <w:rFonts w:ascii="Times New Roman" w:eastAsia="Times New Roman" w:hAnsi="Times New Roman" w:cs="Times New Roman"/>
            <w:color w:val="000000"/>
            <w:sz w:val="24"/>
            <w:szCs w:val="24"/>
          </w:rPr>
          <w:t>2020;383:1425</w:t>
        </w:r>
        <w:proofErr w:type="gramEnd"/>
        <w:r>
          <w:rPr>
            <w:rFonts w:ascii="Times New Roman" w:eastAsia="Times New Roman" w:hAnsi="Times New Roman" w:cs="Times New Roman"/>
            <w:color w:val="000000"/>
            <w:sz w:val="24"/>
            <w:szCs w:val="24"/>
          </w:rPr>
          <w:t>–35.</w:t>
        </w:r>
      </w:hyperlink>
    </w:p>
    <w:p w14:paraId="00000059"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r>
      <w:hyperlink r:id="rId42">
        <w:proofErr w:type="spellStart"/>
        <w:r>
          <w:rPr>
            <w:rFonts w:ascii="Times New Roman" w:eastAsia="Times New Roman" w:hAnsi="Times New Roman" w:cs="Times New Roman"/>
            <w:color w:val="000000"/>
            <w:sz w:val="24"/>
            <w:szCs w:val="24"/>
          </w:rPr>
          <w:t>Zelniker</w:t>
        </w:r>
        <w:proofErr w:type="spellEnd"/>
        <w:r>
          <w:rPr>
            <w:rFonts w:ascii="Times New Roman" w:eastAsia="Times New Roman" w:hAnsi="Times New Roman" w:cs="Times New Roman"/>
            <w:color w:val="000000"/>
            <w:sz w:val="24"/>
            <w:szCs w:val="24"/>
          </w:rPr>
          <w:t xml:space="preserve"> TA, </w:t>
        </w:r>
        <w:proofErr w:type="spellStart"/>
        <w:r>
          <w:rPr>
            <w:rFonts w:ascii="Times New Roman" w:eastAsia="Times New Roman" w:hAnsi="Times New Roman" w:cs="Times New Roman"/>
            <w:color w:val="000000"/>
            <w:sz w:val="24"/>
            <w:szCs w:val="24"/>
          </w:rPr>
          <w:t>Wiviott</w:t>
        </w:r>
        <w:proofErr w:type="spellEnd"/>
        <w:r>
          <w:rPr>
            <w:rFonts w:ascii="Times New Roman" w:eastAsia="Times New Roman" w:hAnsi="Times New Roman" w:cs="Times New Roman"/>
            <w:color w:val="000000"/>
            <w:sz w:val="24"/>
            <w:szCs w:val="24"/>
          </w:rPr>
          <w:t xml:space="preserve"> SD, Raz I, </w:t>
        </w:r>
        <w:proofErr w:type="spellStart"/>
        <w:r>
          <w:rPr>
            <w:rFonts w:ascii="Times New Roman" w:eastAsia="Times New Roman" w:hAnsi="Times New Roman" w:cs="Times New Roman"/>
            <w:color w:val="000000"/>
            <w:sz w:val="24"/>
            <w:szCs w:val="24"/>
          </w:rPr>
          <w:t>Im</w:t>
        </w:r>
        <w:proofErr w:type="spellEnd"/>
        <w:r>
          <w:rPr>
            <w:rFonts w:ascii="Times New Roman" w:eastAsia="Times New Roman" w:hAnsi="Times New Roman" w:cs="Times New Roman"/>
            <w:color w:val="000000"/>
            <w:sz w:val="24"/>
            <w:szCs w:val="24"/>
          </w:rPr>
          <w:t xml:space="preserve"> K, Goodrich EL, </w:t>
        </w:r>
        <w:proofErr w:type="spellStart"/>
        <w:r>
          <w:rPr>
            <w:rFonts w:ascii="Times New Roman" w:eastAsia="Times New Roman" w:hAnsi="Times New Roman" w:cs="Times New Roman"/>
            <w:color w:val="000000"/>
            <w:sz w:val="24"/>
            <w:szCs w:val="24"/>
          </w:rPr>
          <w:t>Bonaca</w:t>
        </w:r>
        <w:proofErr w:type="spellEnd"/>
        <w:r>
          <w:rPr>
            <w:rFonts w:ascii="Times New Roman" w:eastAsia="Times New Roman" w:hAnsi="Times New Roman" w:cs="Times New Roman"/>
            <w:color w:val="000000"/>
            <w:sz w:val="24"/>
            <w:szCs w:val="24"/>
          </w:rPr>
          <w:t xml:space="preserve"> MP, et al. SGLT2 inhibitors for primary and secondary prevention of cardiovascular and renal outcomes in type 2 diabetes: a systematic review and meta-analysis of cardiovascular outcome trials. Lancet </w:t>
        </w:r>
        <w:proofErr w:type="gramStart"/>
        <w:r>
          <w:rPr>
            <w:rFonts w:ascii="Times New Roman" w:eastAsia="Times New Roman" w:hAnsi="Times New Roman" w:cs="Times New Roman"/>
            <w:color w:val="000000"/>
            <w:sz w:val="24"/>
            <w:szCs w:val="24"/>
          </w:rPr>
          <w:t>2019;393:31</w:t>
        </w:r>
        <w:proofErr w:type="gramEnd"/>
        <w:r>
          <w:rPr>
            <w:rFonts w:ascii="Times New Roman" w:eastAsia="Times New Roman" w:hAnsi="Times New Roman" w:cs="Times New Roman"/>
            <w:color w:val="000000"/>
            <w:sz w:val="24"/>
            <w:szCs w:val="24"/>
          </w:rPr>
          <w:t>–9.</w:t>
        </w:r>
      </w:hyperlink>
    </w:p>
    <w:p w14:paraId="0000005A"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r>
      <w:hyperlink r:id="rId43">
        <w:r>
          <w:rPr>
            <w:rFonts w:ascii="Times New Roman" w:eastAsia="Times New Roman" w:hAnsi="Times New Roman" w:cs="Times New Roman"/>
            <w:color w:val="000000"/>
            <w:sz w:val="24"/>
            <w:szCs w:val="24"/>
          </w:rPr>
          <w:t xml:space="preserve">McGuire DK, Shih WJ, Cosentino F, Charbonnel B, Cherney DZI, </w:t>
        </w:r>
        <w:proofErr w:type="spellStart"/>
        <w:r>
          <w:rPr>
            <w:rFonts w:ascii="Times New Roman" w:eastAsia="Times New Roman" w:hAnsi="Times New Roman" w:cs="Times New Roman"/>
            <w:color w:val="000000"/>
            <w:sz w:val="24"/>
            <w:szCs w:val="24"/>
          </w:rPr>
          <w:t>Dagogo</w:t>
        </w:r>
        <w:proofErr w:type="spellEnd"/>
        <w:r>
          <w:rPr>
            <w:rFonts w:ascii="Times New Roman" w:eastAsia="Times New Roman" w:hAnsi="Times New Roman" w:cs="Times New Roman"/>
            <w:color w:val="000000"/>
            <w:sz w:val="24"/>
            <w:szCs w:val="24"/>
          </w:rPr>
          <w:t xml:space="preserve">-Jack S, et al. Association of SGLT2 inhibitors with cardiovascular and kidney outcomes in patients with type 2 diabetes: A meta-analysis: A meta-analysis. JAMA </w:t>
        </w:r>
        <w:proofErr w:type="spellStart"/>
        <w:r>
          <w:rPr>
            <w:rFonts w:ascii="Times New Roman" w:eastAsia="Times New Roman" w:hAnsi="Times New Roman" w:cs="Times New Roman"/>
            <w:color w:val="000000"/>
            <w:sz w:val="24"/>
            <w:szCs w:val="24"/>
          </w:rPr>
          <w:t>Cardiol</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2021;6:148</w:t>
        </w:r>
        <w:proofErr w:type="gramEnd"/>
        <w:r>
          <w:rPr>
            <w:rFonts w:ascii="Times New Roman" w:eastAsia="Times New Roman" w:hAnsi="Times New Roman" w:cs="Times New Roman"/>
            <w:color w:val="000000"/>
            <w:sz w:val="24"/>
            <w:szCs w:val="24"/>
          </w:rPr>
          <w:t>–58.</w:t>
        </w:r>
      </w:hyperlink>
    </w:p>
    <w:p w14:paraId="0000005B"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ab/>
      </w:r>
      <w:hyperlink r:id="rId44">
        <w:r>
          <w:rPr>
            <w:rFonts w:ascii="Times New Roman" w:eastAsia="Times New Roman" w:hAnsi="Times New Roman" w:cs="Times New Roman"/>
            <w:color w:val="000000"/>
            <w:sz w:val="24"/>
            <w:szCs w:val="24"/>
          </w:rPr>
          <w:t xml:space="preserve">Patel SM, Kang YM, </w:t>
        </w:r>
        <w:proofErr w:type="spellStart"/>
        <w:r>
          <w:rPr>
            <w:rFonts w:ascii="Times New Roman" w:eastAsia="Times New Roman" w:hAnsi="Times New Roman" w:cs="Times New Roman"/>
            <w:color w:val="000000"/>
            <w:sz w:val="24"/>
            <w:szCs w:val="24"/>
          </w:rPr>
          <w:t>Im</w:t>
        </w:r>
        <w:proofErr w:type="spellEnd"/>
        <w:r>
          <w:rPr>
            <w:rFonts w:ascii="Times New Roman" w:eastAsia="Times New Roman" w:hAnsi="Times New Roman" w:cs="Times New Roman"/>
            <w:color w:val="000000"/>
            <w:sz w:val="24"/>
            <w:szCs w:val="24"/>
          </w:rPr>
          <w:t xml:space="preserve"> K, </w:t>
        </w:r>
        <w:proofErr w:type="spellStart"/>
        <w:r>
          <w:rPr>
            <w:rFonts w:ascii="Times New Roman" w:eastAsia="Times New Roman" w:hAnsi="Times New Roman" w:cs="Times New Roman"/>
            <w:color w:val="000000"/>
            <w:sz w:val="24"/>
            <w:szCs w:val="24"/>
          </w:rPr>
          <w:t>Neuen</w:t>
        </w:r>
        <w:proofErr w:type="spellEnd"/>
        <w:r>
          <w:rPr>
            <w:rFonts w:ascii="Times New Roman" w:eastAsia="Times New Roman" w:hAnsi="Times New Roman" w:cs="Times New Roman"/>
            <w:color w:val="000000"/>
            <w:sz w:val="24"/>
            <w:szCs w:val="24"/>
          </w:rPr>
          <w:t xml:space="preserve"> BL, Anker SD, Bhatt DL, et al. Sodium-glucose cotransporter-2 inhibitors and major adverse cardiovascular outcomes: A SMART-C collaborative meta-analysis. Circulation </w:t>
        </w:r>
        <w:proofErr w:type="gramStart"/>
        <w:r>
          <w:rPr>
            <w:rFonts w:ascii="Times New Roman" w:eastAsia="Times New Roman" w:hAnsi="Times New Roman" w:cs="Times New Roman"/>
            <w:color w:val="000000"/>
            <w:sz w:val="24"/>
            <w:szCs w:val="24"/>
          </w:rPr>
          <w:t>2024;149:1789</w:t>
        </w:r>
        <w:proofErr w:type="gramEnd"/>
        <w:r>
          <w:rPr>
            <w:rFonts w:ascii="Times New Roman" w:eastAsia="Times New Roman" w:hAnsi="Times New Roman" w:cs="Times New Roman"/>
            <w:color w:val="000000"/>
            <w:sz w:val="24"/>
            <w:szCs w:val="24"/>
          </w:rPr>
          <w:t>–801.</w:t>
        </w:r>
      </w:hyperlink>
    </w:p>
    <w:p w14:paraId="0000005C"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ab/>
      </w:r>
      <w:hyperlink r:id="rId45">
        <w:r>
          <w:rPr>
            <w:rFonts w:ascii="Times New Roman" w:eastAsia="Times New Roman" w:hAnsi="Times New Roman" w:cs="Times New Roman"/>
            <w:color w:val="000000"/>
            <w:sz w:val="24"/>
            <w:szCs w:val="24"/>
          </w:rPr>
          <w:t>Grundy SM, Stone NJ, Bailey AL, Beam C, Birtcher KK, Blumenthal RS, et al. 2018 AHA/ACC/AACVPR/AAPA/ABC/ACPM/ADA/AGS/APhA/ASPC/NLA/PCNA guideline on the management of blood cholesterol: A report of the American college of cardiology/American heart association task force on clinical practice guidelines. Circulation 2019;139. https://doi.org/</w:t>
        </w:r>
      </w:hyperlink>
      <w:hyperlink r:id="rId46">
        <w:r>
          <w:rPr>
            <w:rFonts w:ascii="Times New Roman" w:eastAsia="Times New Roman" w:hAnsi="Times New Roman" w:cs="Times New Roman"/>
            <w:color w:val="000000"/>
            <w:sz w:val="24"/>
            <w:szCs w:val="24"/>
          </w:rPr>
          <w:t>10.1161/cir.0000000000000625</w:t>
        </w:r>
      </w:hyperlink>
      <w:hyperlink r:id="rId47">
        <w:r>
          <w:rPr>
            <w:rFonts w:ascii="Times New Roman" w:eastAsia="Times New Roman" w:hAnsi="Times New Roman" w:cs="Times New Roman"/>
            <w:color w:val="000000"/>
            <w:sz w:val="24"/>
            <w:szCs w:val="24"/>
          </w:rPr>
          <w:t>.</w:t>
        </w:r>
      </w:hyperlink>
    </w:p>
    <w:p w14:paraId="0000005D"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ab/>
      </w:r>
      <w:hyperlink r:id="rId48">
        <w:r>
          <w:rPr>
            <w:rFonts w:ascii="Times New Roman" w:eastAsia="Times New Roman" w:hAnsi="Times New Roman" w:cs="Times New Roman"/>
            <w:color w:val="000000"/>
            <w:sz w:val="24"/>
            <w:szCs w:val="24"/>
          </w:rPr>
          <w:t xml:space="preserve">Pieper D, </w:t>
        </w:r>
        <w:proofErr w:type="spellStart"/>
        <w:r>
          <w:rPr>
            <w:rFonts w:ascii="Times New Roman" w:eastAsia="Times New Roman" w:hAnsi="Times New Roman" w:cs="Times New Roman"/>
            <w:color w:val="000000"/>
            <w:sz w:val="24"/>
            <w:szCs w:val="24"/>
          </w:rPr>
          <w:t>Rombey</w:t>
        </w:r>
        <w:proofErr w:type="spellEnd"/>
        <w:r>
          <w:rPr>
            <w:rFonts w:ascii="Times New Roman" w:eastAsia="Times New Roman" w:hAnsi="Times New Roman" w:cs="Times New Roman"/>
            <w:color w:val="000000"/>
            <w:sz w:val="24"/>
            <w:szCs w:val="24"/>
          </w:rPr>
          <w:t xml:space="preserve"> T. Where to prospectively register a systematic review. Syst Rev </w:t>
        </w:r>
        <w:proofErr w:type="gramStart"/>
        <w:r>
          <w:rPr>
            <w:rFonts w:ascii="Times New Roman" w:eastAsia="Times New Roman" w:hAnsi="Times New Roman" w:cs="Times New Roman"/>
            <w:color w:val="000000"/>
            <w:sz w:val="24"/>
            <w:szCs w:val="24"/>
          </w:rPr>
          <w:t>2022;11:8</w:t>
        </w:r>
        <w:proofErr w:type="gramEnd"/>
        <w:r>
          <w:rPr>
            <w:rFonts w:ascii="Times New Roman" w:eastAsia="Times New Roman" w:hAnsi="Times New Roman" w:cs="Times New Roman"/>
            <w:color w:val="000000"/>
            <w:sz w:val="24"/>
            <w:szCs w:val="24"/>
          </w:rPr>
          <w:t>.</w:t>
        </w:r>
      </w:hyperlink>
    </w:p>
    <w:p w14:paraId="0000005E"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ab/>
      </w:r>
      <w:hyperlink r:id="rId49">
        <w:r>
          <w:rPr>
            <w:rFonts w:ascii="Times New Roman" w:eastAsia="Times New Roman" w:hAnsi="Times New Roman" w:cs="Times New Roman"/>
            <w:color w:val="000000"/>
            <w:sz w:val="24"/>
            <w:szCs w:val="24"/>
          </w:rPr>
          <w:t xml:space="preserve">Page MJ, McKenzie JE, Bossuyt PM, </w:t>
        </w:r>
        <w:proofErr w:type="spellStart"/>
        <w:r>
          <w:rPr>
            <w:rFonts w:ascii="Times New Roman" w:eastAsia="Times New Roman" w:hAnsi="Times New Roman" w:cs="Times New Roman"/>
            <w:color w:val="000000"/>
            <w:sz w:val="24"/>
            <w:szCs w:val="24"/>
          </w:rPr>
          <w:t>Boutron</w:t>
        </w:r>
        <w:proofErr w:type="spellEnd"/>
        <w:r>
          <w:rPr>
            <w:rFonts w:ascii="Times New Roman" w:eastAsia="Times New Roman" w:hAnsi="Times New Roman" w:cs="Times New Roman"/>
            <w:color w:val="000000"/>
            <w:sz w:val="24"/>
            <w:szCs w:val="24"/>
          </w:rPr>
          <w:t xml:space="preserve"> I, Hoffmann TC, Mulrow CD, et al. The PRISMA 2020 statement: an updated guideline for reporting systematic reviews. BMJ 2021;</w:t>
        </w:r>
        <w:proofErr w:type="gramStart"/>
        <w:r>
          <w:rPr>
            <w:rFonts w:ascii="Times New Roman" w:eastAsia="Times New Roman" w:hAnsi="Times New Roman" w:cs="Times New Roman"/>
            <w:color w:val="000000"/>
            <w:sz w:val="24"/>
            <w:szCs w:val="24"/>
          </w:rPr>
          <w:t>372:n</w:t>
        </w:r>
        <w:proofErr w:type="gramEnd"/>
        <w:r>
          <w:rPr>
            <w:rFonts w:ascii="Times New Roman" w:eastAsia="Times New Roman" w:hAnsi="Times New Roman" w:cs="Times New Roman"/>
            <w:color w:val="000000"/>
            <w:sz w:val="24"/>
            <w:szCs w:val="24"/>
          </w:rPr>
          <w:t>71.</w:t>
        </w:r>
      </w:hyperlink>
    </w:p>
    <w:p w14:paraId="0000005F"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ab/>
      </w:r>
      <w:hyperlink r:id="rId50">
        <w:r>
          <w:rPr>
            <w:rFonts w:ascii="Times New Roman" w:eastAsia="Times New Roman" w:hAnsi="Times New Roman" w:cs="Times New Roman"/>
            <w:color w:val="000000"/>
            <w:sz w:val="24"/>
            <w:szCs w:val="24"/>
          </w:rPr>
          <w:t>Richardson WS, Wilson MC, Nishikawa J, Hayward RS. The well-built clinical question: a key to evidence-based decisions. ACP J Club 1995;</w:t>
        </w:r>
        <w:proofErr w:type="gramStart"/>
        <w:r>
          <w:rPr>
            <w:rFonts w:ascii="Times New Roman" w:eastAsia="Times New Roman" w:hAnsi="Times New Roman" w:cs="Times New Roman"/>
            <w:color w:val="000000"/>
            <w:sz w:val="24"/>
            <w:szCs w:val="24"/>
          </w:rPr>
          <w:t>123:A</w:t>
        </w:r>
        <w:proofErr w:type="gramEnd"/>
        <w:r>
          <w:rPr>
            <w:rFonts w:ascii="Times New Roman" w:eastAsia="Times New Roman" w:hAnsi="Times New Roman" w:cs="Times New Roman"/>
            <w:color w:val="000000"/>
            <w:sz w:val="24"/>
            <w:szCs w:val="24"/>
          </w:rPr>
          <w:t>12–3.</w:t>
        </w:r>
      </w:hyperlink>
    </w:p>
    <w:p w14:paraId="00000060"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z w:val="24"/>
          <w:szCs w:val="24"/>
        </w:rPr>
        <w:tab/>
      </w:r>
      <w:hyperlink r:id="rId51">
        <w:r>
          <w:rPr>
            <w:rFonts w:ascii="Times New Roman" w:eastAsia="Times New Roman" w:hAnsi="Times New Roman" w:cs="Times New Roman"/>
            <w:color w:val="000000"/>
            <w:sz w:val="24"/>
            <w:szCs w:val="24"/>
          </w:rPr>
          <w:t xml:space="preserve">Sterne JAC, Savović J, Page MJ, Elbers RG, Blencowe NS, </w:t>
        </w:r>
        <w:proofErr w:type="spellStart"/>
        <w:r>
          <w:rPr>
            <w:rFonts w:ascii="Times New Roman" w:eastAsia="Times New Roman" w:hAnsi="Times New Roman" w:cs="Times New Roman"/>
            <w:color w:val="000000"/>
            <w:sz w:val="24"/>
            <w:szCs w:val="24"/>
          </w:rPr>
          <w:t>Boutron</w:t>
        </w:r>
        <w:proofErr w:type="spellEnd"/>
        <w:r>
          <w:rPr>
            <w:rFonts w:ascii="Times New Roman" w:eastAsia="Times New Roman" w:hAnsi="Times New Roman" w:cs="Times New Roman"/>
            <w:color w:val="000000"/>
            <w:sz w:val="24"/>
            <w:szCs w:val="24"/>
          </w:rPr>
          <w:t xml:space="preserve"> I, et al. </w:t>
        </w:r>
        <w:proofErr w:type="spellStart"/>
        <w:r>
          <w:rPr>
            <w:rFonts w:ascii="Times New Roman" w:eastAsia="Times New Roman" w:hAnsi="Times New Roman" w:cs="Times New Roman"/>
            <w:color w:val="000000"/>
            <w:sz w:val="24"/>
            <w:szCs w:val="24"/>
          </w:rPr>
          <w:t>RoB</w:t>
        </w:r>
        <w:proofErr w:type="spellEnd"/>
        <w:r>
          <w:rPr>
            <w:rFonts w:ascii="Times New Roman" w:eastAsia="Times New Roman" w:hAnsi="Times New Roman" w:cs="Times New Roman"/>
            <w:color w:val="000000"/>
            <w:sz w:val="24"/>
            <w:szCs w:val="24"/>
          </w:rPr>
          <w:t xml:space="preserve"> 2: a revised tool for assessing risk of bias in </w:t>
        </w:r>
        <w:proofErr w:type="spellStart"/>
        <w:r>
          <w:rPr>
            <w:rFonts w:ascii="Times New Roman" w:eastAsia="Times New Roman" w:hAnsi="Times New Roman" w:cs="Times New Roman"/>
            <w:color w:val="000000"/>
            <w:sz w:val="24"/>
            <w:szCs w:val="24"/>
          </w:rPr>
          <w:t>randomised</w:t>
        </w:r>
        <w:proofErr w:type="spellEnd"/>
        <w:r>
          <w:rPr>
            <w:rFonts w:ascii="Times New Roman" w:eastAsia="Times New Roman" w:hAnsi="Times New Roman" w:cs="Times New Roman"/>
            <w:color w:val="000000"/>
            <w:sz w:val="24"/>
            <w:szCs w:val="24"/>
          </w:rPr>
          <w:t xml:space="preserve"> trials. BMJ 2019;</w:t>
        </w:r>
        <w:proofErr w:type="gramStart"/>
        <w:r>
          <w:rPr>
            <w:rFonts w:ascii="Times New Roman" w:eastAsia="Times New Roman" w:hAnsi="Times New Roman" w:cs="Times New Roman"/>
            <w:color w:val="000000"/>
            <w:sz w:val="24"/>
            <w:szCs w:val="24"/>
          </w:rPr>
          <w:t>366:l</w:t>
        </w:r>
        <w:proofErr w:type="gramEnd"/>
        <w:r>
          <w:rPr>
            <w:rFonts w:ascii="Times New Roman" w:eastAsia="Times New Roman" w:hAnsi="Times New Roman" w:cs="Times New Roman"/>
            <w:color w:val="000000"/>
            <w:sz w:val="24"/>
            <w:szCs w:val="24"/>
          </w:rPr>
          <w:t>4898.</w:t>
        </w:r>
      </w:hyperlink>
    </w:p>
    <w:p w14:paraId="00000061"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Pr>
          <w:rFonts w:ascii="Times New Roman" w:eastAsia="Times New Roman" w:hAnsi="Times New Roman" w:cs="Times New Roman"/>
          <w:color w:val="000000"/>
          <w:sz w:val="24"/>
          <w:szCs w:val="24"/>
        </w:rPr>
        <w:tab/>
      </w:r>
      <w:hyperlink r:id="rId52">
        <w:r>
          <w:rPr>
            <w:rFonts w:ascii="Times New Roman" w:eastAsia="Times New Roman" w:hAnsi="Times New Roman" w:cs="Times New Roman"/>
            <w:color w:val="000000"/>
            <w:sz w:val="24"/>
            <w:szCs w:val="24"/>
          </w:rPr>
          <w:t xml:space="preserve">Balduzzi S, Rücker G, Schwarzer G. How to perform a meta-analysis with R: a practical tutorial. Evid Based Ment Health </w:t>
        </w:r>
        <w:proofErr w:type="gramStart"/>
        <w:r>
          <w:rPr>
            <w:rFonts w:ascii="Times New Roman" w:eastAsia="Times New Roman" w:hAnsi="Times New Roman" w:cs="Times New Roman"/>
            <w:color w:val="000000"/>
            <w:sz w:val="24"/>
            <w:szCs w:val="24"/>
          </w:rPr>
          <w:t>2019;22:153</w:t>
        </w:r>
        <w:proofErr w:type="gramEnd"/>
        <w:r>
          <w:rPr>
            <w:rFonts w:ascii="Times New Roman" w:eastAsia="Times New Roman" w:hAnsi="Times New Roman" w:cs="Times New Roman"/>
            <w:color w:val="000000"/>
            <w:sz w:val="24"/>
            <w:szCs w:val="24"/>
          </w:rPr>
          <w:t>–60.</w:t>
        </w:r>
      </w:hyperlink>
    </w:p>
    <w:p w14:paraId="00000062"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Pr>
          <w:rFonts w:ascii="Times New Roman" w:eastAsia="Times New Roman" w:hAnsi="Times New Roman" w:cs="Times New Roman"/>
          <w:color w:val="000000"/>
          <w:sz w:val="24"/>
          <w:szCs w:val="24"/>
        </w:rPr>
        <w:tab/>
      </w:r>
      <w:hyperlink r:id="rId53">
        <w:proofErr w:type="spellStart"/>
        <w:r>
          <w:rPr>
            <w:rFonts w:ascii="Times New Roman" w:eastAsia="Times New Roman" w:hAnsi="Times New Roman" w:cs="Times New Roman"/>
            <w:color w:val="000000"/>
            <w:sz w:val="24"/>
            <w:szCs w:val="24"/>
          </w:rPr>
          <w:t>DerSimonian</w:t>
        </w:r>
        <w:proofErr w:type="spellEnd"/>
        <w:r>
          <w:rPr>
            <w:rFonts w:ascii="Times New Roman" w:eastAsia="Times New Roman" w:hAnsi="Times New Roman" w:cs="Times New Roman"/>
            <w:color w:val="000000"/>
            <w:sz w:val="24"/>
            <w:szCs w:val="24"/>
          </w:rPr>
          <w:t xml:space="preserve"> R, Laird N. Meta-analysis in clinical trials. Control Clin Trials </w:t>
        </w:r>
        <w:proofErr w:type="gramStart"/>
        <w:r>
          <w:rPr>
            <w:rFonts w:ascii="Times New Roman" w:eastAsia="Times New Roman" w:hAnsi="Times New Roman" w:cs="Times New Roman"/>
            <w:color w:val="000000"/>
            <w:sz w:val="24"/>
            <w:szCs w:val="24"/>
          </w:rPr>
          <w:t>1986;7:177</w:t>
        </w:r>
        <w:proofErr w:type="gramEnd"/>
        <w:r>
          <w:rPr>
            <w:rFonts w:ascii="Times New Roman" w:eastAsia="Times New Roman" w:hAnsi="Times New Roman" w:cs="Times New Roman"/>
            <w:color w:val="000000"/>
            <w:sz w:val="24"/>
            <w:szCs w:val="24"/>
          </w:rPr>
          <w:t>–88.</w:t>
        </w:r>
      </w:hyperlink>
    </w:p>
    <w:p w14:paraId="00000063"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Pr>
          <w:rFonts w:ascii="Times New Roman" w:eastAsia="Times New Roman" w:hAnsi="Times New Roman" w:cs="Times New Roman"/>
          <w:color w:val="000000"/>
          <w:sz w:val="24"/>
          <w:szCs w:val="24"/>
        </w:rPr>
        <w:tab/>
      </w:r>
      <w:hyperlink r:id="rId54">
        <w:r>
          <w:rPr>
            <w:rFonts w:ascii="Times New Roman" w:eastAsia="Times New Roman" w:hAnsi="Times New Roman" w:cs="Times New Roman"/>
            <w:color w:val="000000"/>
            <w:sz w:val="24"/>
            <w:szCs w:val="24"/>
          </w:rPr>
          <w:t xml:space="preserve">Thompson SG, Sharp SJ. Explaining heterogeneity in meta-analysis: a comparison of methods. Stat Med </w:t>
        </w:r>
        <w:proofErr w:type="gramStart"/>
        <w:r>
          <w:rPr>
            <w:rFonts w:ascii="Times New Roman" w:eastAsia="Times New Roman" w:hAnsi="Times New Roman" w:cs="Times New Roman"/>
            <w:color w:val="000000"/>
            <w:sz w:val="24"/>
            <w:szCs w:val="24"/>
          </w:rPr>
          <w:t>1999;18:2693</w:t>
        </w:r>
        <w:proofErr w:type="gramEnd"/>
        <w:r>
          <w:rPr>
            <w:rFonts w:ascii="Times New Roman" w:eastAsia="Times New Roman" w:hAnsi="Times New Roman" w:cs="Times New Roman"/>
            <w:color w:val="000000"/>
            <w:sz w:val="24"/>
            <w:szCs w:val="24"/>
          </w:rPr>
          <w:t>–708.</w:t>
        </w:r>
      </w:hyperlink>
    </w:p>
    <w:p w14:paraId="00000064"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rPr>
        <w:tab/>
      </w:r>
      <w:hyperlink r:id="rId55">
        <w:r>
          <w:rPr>
            <w:rFonts w:ascii="Times New Roman" w:eastAsia="Times New Roman" w:hAnsi="Times New Roman" w:cs="Times New Roman"/>
            <w:color w:val="000000"/>
            <w:sz w:val="24"/>
            <w:szCs w:val="24"/>
          </w:rPr>
          <w:t xml:space="preserve">Fu R, </w:t>
        </w:r>
        <w:proofErr w:type="spellStart"/>
        <w:r>
          <w:rPr>
            <w:rFonts w:ascii="Times New Roman" w:eastAsia="Times New Roman" w:hAnsi="Times New Roman" w:cs="Times New Roman"/>
            <w:color w:val="000000"/>
            <w:sz w:val="24"/>
            <w:szCs w:val="24"/>
          </w:rPr>
          <w:t>Gartlehner</w:t>
        </w:r>
        <w:proofErr w:type="spellEnd"/>
        <w:r>
          <w:rPr>
            <w:rFonts w:ascii="Times New Roman" w:eastAsia="Times New Roman" w:hAnsi="Times New Roman" w:cs="Times New Roman"/>
            <w:color w:val="000000"/>
            <w:sz w:val="24"/>
            <w:szCs w:val="24"/>
          </w:rPr>
          <w:t xml:space="preserve"> G, Grant M, </w:t>
        </w:r>
        <w:proofErr w:type="spellStart"/>
        <w:r>
          <w:rPr>
            <w:rFonts w:ascii="Times New Roman" w:eastAsia="Times New Roman" w:hAnsi="Times New Roman" w:cs="Times New Roman"/>
            <w:color w:val="000000"/>
            <w:sz w:val="24"/>
            <w:szCs w:val="24"/>
          </w:rPr>
          <w:t>Shamliyan</w:t>
        </w:r>
        <w:proofErr w:type="spellEnd"/>
        <w:r>
          <w:rPr>
            <w:rFonts w:ascii="Times New Roman" w:eastAsia="Times New Roman" w:hAnsi="Times New Roman" w:cs="Times New Roman"/>
            <w:color w:val="000000"/>
            <w:sz w:val="24"/>
            <w:szCs w:val="24"/>
          </w:rPr>
          <w:t xml:space="preserve"> T, Sedrakyan A, Wilt TJ, et al. Conducting quantitative synthesis when comparing medical interventions: AHRQ and the effective health care program. Methods Guide for Effectiveness and Comparative Effectiveness Reviews, Rockville (MD): Agency for Healthcare Research and Quality (US); 2008.</w:t>
        </w:r>
      </w:hyperlink>
    </w:p>
    <w:p w14:paraId="00000065"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ab/>
      </w:r>
      <w:hyperlink r:id="rId56">
        <w:r>
          <w:rPr>
            <w:rFonts w:ascii="Times New Roman" w:eastAsia="Times New Roman" w:hAnsi="Times New Roman" w:cs="Times New Roman"/>
            <w:color w:val="000000"/>
            <w:sz w:val="24"/>
            <w:szCs w:val="24"/>
          </w:rPr>
          <w:t xml:space="preserve">Nair AS. Publication bias - Importance of studies with negative results! Indian J </w:t>
        </w:r>
        <w:proofErr w:type="spellStart"/>
        <w:r>
          <w:rPr>
            <w:rFonts w:ascii="Times New Roman" w:eastAsia="Times New Roman" w:hAnsi="Times New Roman" w:cs="Times New Roman"/>
            <w:color w:val="000000"/>
            <w:sz w:val="24"/>
            <w:szCs w:val="24"/>
          </w:rPr>
          <w:t>Anaesth</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2019;63:505</w:t>
        </w:r>
        <w:proofErr w:type="gramEnd"/>
        <w:r>
          <w:rPr>
            <w:rFonts w:ascii="Times New Roman" w:eastAsia="Times New Roman" w:hAnsi="Times New Roman" w:cs="Times New Roman"/>
            <w:color w:val="000000"/>
            <w:sz w:val="24"/>
            <w:szCs w:val="24"/>
          </w:rPr>
          <w:t>–7.</w:t>
        </w:r>
      </w:hyperlink>
    </w:p>
    <w:p w14:paraId="00000066"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ab/>
      </w:r>
      <w:hyperlink r:id="rId57">
        <w:r>
          <w:rPr>
            <w:rFonts w:ascii="Times New Roman" w:eastAsia="Times New Roman" w:hAnsi="Times New Roman" w:cs="Times New Roman"/>
            <w:color w:val="000000"/>
            <w:sz w:val="24"/>
            <w:szCs w:val="24"/>
          </w:rPr>
          <w:t xml:space="preserve">Guyatt GH, Oxman AD, </w:t>
        </w:r>
        <w:proofErr w:type="spellStart"/>
        <w:r>
          <w:rPr>
            <w:rFonts w:ascii="Times New Roman" w:eastAsia="Times New Roman" w:hAnsi="Times New Roman" w:cs="Times New Roman"/>
            <w:color w:val="000000"/>
            <w:sz w:val="24"/>
            <w:szCs w:val="24"/>
          </w:rPr>
          <w:t>Schünemann</w:t>
        </w:r>
        <w:proofErr w:type="spellEnd"/>
        <w:r>
          <w:rPr>
            <w:rFonts w:ascii="Times New Roman" w:eastAsia="Times New Roman" w:hAnsi="Times New Roman" w:cs="Times New Roman"/>
            <w:color w:val="000000"/>
            <w:sz w:val="24"/>
            <w:szCs w:val="24"/>
          </w:rPr>
          <w:t xml:space="preserve"> HJ, Tugwell P, </w:t>
        </w:r>
        <w:proofErr w:type="spellStart"/>
        <w:r>
          <w:rPr>
            <w:rFonts w:ascii="Times New Roman" w:eastAsia="Times New Roman" w:hAnsi="Times New Roman" w:cs="Times New Roman"/>
            <w:color w:val="000000"/>
            <w:sz w:val="24"/>
            <w:szCs w:val="24"/>
          </w:rPr>
          <w:t>Knottnerus</w:t>
        </w:r>
        <w:proofErr w:type="spellEnd"/>
        <w:r>
          <w:rPr>
            <w:rFonts w:ascii="Times New Roman" w:eastAsia="Times New Roman" w:hAnsi="Times New Roman" w:cs="Times New Roman"/>
            <w:color w:val="000000"/>
            <w:sz w:val="24"/>
            <w:szCs w:val="24"/>
          </w:rPr>
          <w:t xml:space="preserve"> A. GRADE guidelines: a new series of articles in the Journal of Clinical Epidemiology. J Clin Epidemiol </w:t>
        </w:r>
        <w:proofErr w:type="gramStart"/>
        <w:r>
          <w:rPr>
            <w:rFonts w:ascii="Times New Roman" w:eastAsia="Times New Roman" w:hAnsi="Times New Roman" w:cs="Times New Roman"/>
            <w:color w:val="000000"/>
            <w:sz w:val="24"/>
            <w:szCs w:val="24"/>
          </w:rPr>
          <w:t>2011;64:380</w:t>
        </w:r>
        <w:proofErr w:type="gramEnd"/>
        <w:r>
          <w:rPr>
            <w:rFonts w:ascii="Times New Roman" w:eastAsia="Times New Roman" w:hAnsi="Times New Roman" w:cs="Times New Roman"/>
            <w:color w:val="000000"/>
            <w:sz w:val="24"/>
            <w:szCs w:val="24"/>
          </w:rPr>
          <w:t>–2.</w:t>
        </w:r>
      </w:hyperlink>
    </w:p>
    <w:p w14:paraId="00000067"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ab/>
      </w:r>
      <w:hyperlink r:id="rId58">
        <w:r>
          <w:rPr>
            <w:rFonts w:ascii="Times New Roman" w:eastAsia="Times New Roman" w:hAnsi="Times New Roman" w:cs="Times New Roman"/>
            <w:color w:val="000000"/>
            <w:sz w:val="24"/>
            <w:szCs w:val="24"/>
          </w:rPr>
          <w:t xml:space="preserve">Sato K, </w:t>
        </w:r>
        <w:proofErr w:type="spellStart"/>
        <w:r>
          <w:rPr>
            <w:rFonts w:ascii="Times New Roman" w:eastAsia="Times New Roman" w:hAnsi="Times New Roman" w:cs="Times New Roman"/>
            <w:color w:val="000000"/>
            <w:sz w:val="24"/>
            <w:szCs w:val="24"/>
          </w:rPr>
          <w:t>Kashiwaya</w:t>
        </w:r>
        <w:proofErr w:type="spellEnd"/>
        <w:r>
          <w:rPr>
            <w:rFonts w:ascii="Times New Roman" w:eastAsia="Times New Roman" w:hAnsi="Times New Roman" w:cs="Times New Roman"/>
            <w:color w:val="000000"/>
            <w:sz w:val="24"/>
            <w:szCs w:val="24"/>
          </w:rPr>
          <w:t xml:space="preserve"> Y, Keon CA, Tsuchiya N, King MT, Radda GK, et al. Insulin, ketone bodies, and mitochondrial energy transduction. FASEB J </w:t>
        </w:r>
        <w:proofErr w:type="gramStart"/>
        <w:r>
          <w:rPr>
            <w:rFonts w:ascii="Times New Roman" w:eastAsia="Times New Roman" w:hAnsi="Times New Roman" w:cs="Times New Roman"/>
            <w:color w:val="000000"/>
            <w:sz w:val="24"/>
            <w:szCs w:val="24"/>
          </w:rPr>
          <w:t>1995;9:651</w:t>
        </w:r>
        <w:proofErr w:type="gramEnd"/>
        <w:r>
          <w:rPr>
            <w:rFonts w:ascii="Times New Roman" w:eastAsia="Times New Roman" w:hAnsi="Times New Roman" w:cs="Times New Roman"/>
            <w:color w:val="000000"/>
            <w:sz w:val="24"/>
            <w:szCs w:val="24"/>
          </w:rPr>
          <w:t>–8.</w:t>
        </w:r>
      </w:hyperlink>
    </w:p>
    <w:p w14:paraId="00000068"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r>
        <w:rPr>
          <w:rFonts w:ascii="Times New Roman" w:eastAsia="Times New Roman" w:hAnsi="Times New Roman" w:cs="Times New Roman"/>
          <w:color w:val="000000"/>
          <w:sz w:val="24"/>
          <w:szCs w:val="24"/>
        </w:rPr>
        <w:tab/>
      </w:r>
      <w:hyperlink r:id="rId59">
        <w:proofErr w:type="spellStart"/>
        <w:r>
          <w:rPr>
            <w:rFonts w:ascii="Times New Roman" w:eastAsia="Times New Roman" w:hAnsi="Times New Roman" w:cs="Times New Roman"/>
            <w:color w:val="000000"/>
            <w:sz w:val="24"/>
            <w:szCs w:val="24"/>
          </w:rPr>
          <w:t>Ridker</w:t>
        </w:r>
        <w:proofErr w:type="spellEnd"/>
        <w:r>
          <w:rPr>
            <w:rFonts w:ascii="Times New Roman" w:eastAsia="Times New Roman" w:hAnsi="Times New Roman" w:cs="Times New Roman"/>
            <w:color w:val="000000"/>
            <w:sz w:val="24"/>
            <w:szCs w:val="24"/>
          </w:rPr>
          <w:t xml:space="preserve"> PM, Danielson E, Fonseca FAH, Genest J, Gotto AM Jr, </w:t>
        </w:r>
        <w:proofErr w:type="spellStart"/>
        <w:r>
          <w:rPr>
            <w:rFonts w:ascii="Times New Roman" w:eastAsia="Times New Roman" w:hAnsi="Times New Roman" w:cs="Times New Roman"/>
            <w:color w:val="000000"/>
            <w:sz w:val="24"/>
            <w:szCs w:val="24"/>
          </w:rPr>
          <w:t>Kastelein</w:t>
        </w:r>
        <w:proofErr w:type="spellEnd"/>
        <w:r>
          <w:rPr>
            <w:rFonts w:ascii="Times New Roman" w:eastAsia="Times New Roman" w:hAnsi="Times New Roman" w:cs="Times New Roman"/>
            <w:color w:val="000000"/>
            <w:sz w:val="24"/>
            <w:szCs w:val="24"/>
          </w:rPr>
          <w:t xml:space="preserve"> JJP, et al. Rosuvastatin to prevent vascular events in men and women with elevated C-reactive protein. N Engl J Med </w:t>
        </w:r>
        <w:proofErr w:type="gramStart"/>
        <w:r>
          <w:rPr>
            <w:rFonts w:ascii="Times New Roman" w:eastAsia="Times New Roman" w:hAnsi="Times New Roman" w:cs="Times New Roman"/>
            <w:color w:val="000000"/>
            <w:sz w:val="24"/>
            <w:szCs w:val="24"/>
          </w:rPr>
          <w:t>2008;359:2195</w:t>
        </w:r>
        <w:proofErr w:type="gramEnd"/>
        <w:r>
          <w:rPr>
            <w:rFonts w:ascii="Times New Roman" w:eastAsia="Times New Roman" w:hAnsi="Times New Roman" w:cs="Times New Roman"/>
            <w:color w:val="000000"/>
            <w:sz w:val="24"/>
            <w:szCs w:val="24"/>
          </w:rPr>
          <w:t>–207.</w:t>
        </w:r>
      </w:hyperlink>
    </w:p>
    <w:p w14:paraId="00000069"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r>
        <w:rPr>
          <w:rFonts w:ascii="Times New Roman" w:eastAsia="Times New Roman" w:hAnsi="Times New Roman" w:cs="Times New Roman"/>
          <w:color w:val="000000"/>
          <w:sz w:val="24"/>
          <w:szCs w:val="24"/>
        </w:rPr>
        <w:tab/>
      </w:r>
      <w:hyperlink r:id="rId60">
        <w:proofErr w:type="spellStart"/>
        <w:r>
          <w:rPr>
            <w:rFonts w:ascii="Times New Roman" w:eastAsia="Times New Roman" w:hAnsi="Times New Roman" w:cs="Times New Roman"/>
            <w:color w:val="000000"/>
            <w:sz w:val="24"/>
            <w:szCs w:val="24"/>
          </w:rPr>
          <w:t>Yazdanfard</w:t>
        </w:r>
        <w:proofErr w:type="spellEnd"/>
        <w:r>
          <w:rPr>
            <w:rFonts w:ascii="Times New Roman" w:eastAsia="Times New Roman" w:hAnsi="Times New Roman" w:cs="Times New Roman"/>
            <w:color w:val="000000"/>
            <w:sz w:val="24"/>
            <w:szCs w:val="24"/>
          </w:rPr>
          <w:t xml:space="preserve"> PDW, Sørensen KK, </w:t>
        </w:r>
        <w:proofErr w:type="spellStart"/>
        <w:r>
          <w:rPr>
            <w:rFonts w:ascii="Times New Roman" w:eastAsia="Times New Roman" w:hAnsi="Times New Roman" w:cs="Times New Roman"/>
            <w:color w:val="000000"/>
            <w:sz w:val="24"/>
            <w:szCs w:val="24"/>
          </w:rPr>
          <w:t>Zareini</w:t>
        </w:r>
        <w:proofErr w:type="spellEnd"/>
        <w:r>
          <w:rPr>
            <w:rFonts w:ascii="Times New Roman" w:eastAsia="Times New Roman" w:hAnsi="Times New Roman" w:cs="Times New Roman"/>
            <w:color w:val="000000"/>
            <w:sz w:val="24"/>
            <w:szCs w:val="24"/>
          </w:rPr>
          <w:t xml:space="preserve"> B, Pedersen-Bjergaard U, Ohlendorff JS, Munch A, et al. Type 2 diabetes, sodium-glucose cotransporter-2 inhibitors and cardiovascular outcomes: real world evidence versus a </w:t>
        </w:r>
        <w:proofErr w:type="spellStart"/>
        <w:r>
          <w:rPr>
            <w:rFonts w:ascii="Times New Roman" w:eastAsia="Times New Roman" w:hAnsi="Times New Roman" w:cs="Times New Roman"/>
            <w:color w:val="000000"/>
            <w:sz w:val="24"/>
            <w:szCs w:val="24"/>
          </w:rPr>
          <w:t>randomised</w:t>
        </w:r>
        <w:proofErr w:type="spellEnd"/>
        <w:r>
          <w:rPr>
            <w:rFonts w:ascii="Times New Roman" w:eastAsia="Times New Roman" w:hAnsi="Times New Roman" w:cs="Times New Roman"/>
            <w:color w:val="000000"/>
            <w:sz w:val="24"/>
            <w:szCs w:val="24"/>
          </w:rPr>
          <w:t xml:space="preserve"> clinical trial. Cardiovasc </w:t>
        </w:r>
        <w:proofErr w:type="spellStart"/>
        <w:r>
          <w:rPr>
            <w:rFonts w:ascii="Times New Roman" w:eastAsia="Times New Roman" w:hAnsi="Times New Roman" w:cs="Times New Roman"/>
            <w:color w:val="000000"/>
            <w:sz w:val="24"/>
            <w:szCs w:val="24"/>
          </w:rPr>
          <w:t>Diabetol</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2025;24:371</w:t>
        </w:r>
        <w:proofErr w:type="gramEnd"/>
        <w:r>
          <w:rPr>
            <w:rFonts w:ascii="Times New Roman" w:eastAsia="Times New Roman" w:hAnsi="Times New Roman" w:cs="Times New Roman"/>
            <w:color w:val="000000"/>
            <w:sz w:val="24"/>
            <w:szCs w:val="24"/>
          </w:rPr>
          <w:t>.</w:t>
        </w:r>
      </w:hyperlink>
    </w:p>
    <w:p w14:paraId="0000006A"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z w:val="24"/>
          <w:szCs w:val="24"/>
        </w:rPr>
        <w:tab/>
      </w:r>
      <w:hyperlink r:id="rId61">
        <w:proofErr w:type="spellStart"/>
        <w:r>
          <w:rPr>
            <w:rFonts w:ascii="Times New Roman" w:eastAsia="Times New Roman" w:hAnsi="Times New Roman" w:cs="Times New Roman"/>
            <w:color w:val="000000"/>
            <w:sz w:val="24"/>
            <w:szCs w:val="24"/>
          </w:rPr>
          <w:t>Wiviott</w:t>
        </w:r>
        <w:proofErr w:type="spellEnd"/>
        <w:r>
          <w:rPr>
            <w:rFonts w:ascii="Times New Roman" w:eastAsia="Times New Roman" w:hAnsi="Times New Roman" w:cs="Times New Roman"/>
            <w:color w:val="000000"/>
            <w:sz w:val="24"/>
            <w:szCs w:val="24"/>
          </w:rPr>
          <w:t xml:space="preserve"> SD, Raz I, </w:t>
        </w:r>
        <w:proofErr w:type="spellStart"/>
        <w:r>
          <w:rPr>
            <w:rFonts w:ascii="Times New Roman" w:eastAsia="Times New Roman" w:hAnsi="Times New Roman" w:cs="Times New Roman"/>
            <w:color w:val="000000"/>
            <w:sz w:val="24"/>
            <w:szCs w:val="24"/>
          </w:rPr>
          <w:t>Bonaca</w:t>
        </w:r>
        <w:proofErr w:type="spellEnd"/>
        <w:r>
          <w:rPr>
            <w:rFonts w:ascii="Times New Roman" w:eastAsia="Times New Roman" w:hAnsi="Times New Roman" w:cs="Times New Roman"/>
            <w:color w:val="000000"/>
            <w:sz w:val="24"/>
            <w:szCs w:val="24"/>
          </w:rPr>
          <w:t xml:space="preserve"> MP, </w:t>
        </w:r>
        <w:proofErr w:type="spellStart"/>
        <w:r>
          <w:rPr>
            <w:rFonts w:ascii="Times New Roman" w:eastAsia="Times New Roman" w:hAnsi="Times New Roman" w:cs="Times New Roman"/>
            <w:color w:val="000000"/>
            <w:sz w:val="24"/>
            <w:szCs w:val="24"/>
          </w:rPr>
          <w:t>Mosenzon</w:t>
        </w:r>
        <w:proofErr w:type="spellEnd"/>
        <w:r>
          <w:rPr>
            <w:rFonts w:ascii="Times New Roman" w:eastAsia="Times New Roman" w:hAnsi="Times New Roman" w:cs="Times New Roman"/>
            <w:color w:val="000000"/>
            <w:sz w:val="24"/>
            <w:szCs w:val="24"/>
          </w:rPr>
          <w:t xml:space="preserve"> O, Kato ET, Cahn A, et al. Dapagliflozin and cardiovascular outcomes in type 2 diabetes. N Engl J Med </w:t>
        </w:r>
        <w:proofErr w:type="gramStart"/>
        <w:r>
          <w:rPr>
            <w:rFonts w:ascii="Times New Roman" w:eastAsia="Times New Roman" w:hAnsi="Times New Roman" w:cs="Times New Roman"/>
            <w:color w:val="000000"/>
            <w:sz w:val="24"/>
            <w:szCs w:val="24"/>
          </w:rPr>
          <w:t>2019;380:347</w:t>
        </w:r>
        <w:proofErr w:type="gramEnd"/>
        <w:r>
          <w:rPr>
            <w:rFonts w:ascii="Times New Roman" w:eastAsia="Times New Roman" w:hAnsi="Times New Roman" w:cs="Times New Roman"/>
            <w:color w:val="000000"/>
            <w:sz w:val="24"/>
            <w:szCs w:val="24"/>
          </w:rPr>
          <w:t>–57.</w:t>
        </w:r>
      </w:hyperlink>
    </w:p>
    <w:p w14:paraId="0000006B" w14:textId="77777777" w:rsidR="005C52CF" w:rsidRDefault="00C36C31">
      <w:pPr>
        <w:widowControl w:val="0"/>
        <w:pBdr>
          <w:top w:val="nil"/>
          <w:left w:val="nil"/>
          <w:bottom w:val="nil"/>
          <w:right w:val="nil"/>
          <w:between w:val="nil"/>
        </w:pBdr>
        <w:spacing w:line="240" w:lineRule="auto"/>
        <w:ind w:left="480" w:hanging="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r>
        <w:rPr>
          <w:rFonts w:ascii="Times New Roman" w:eastAsia="Times New Roman" w:hAnsi="Times New Roman" w:cs="Times New Roman"/>
          <w:color w:val="000000"/>
          <w:sz w:val="24"/>
          <w:szCs w:val="24"/>
        </w:rPr>
        <w:tab/>
      </w:r>
      <w:hyperlink r:id="rId62">
        <w:r>
          <w:rPr>
            <w:rFonts w:ascii="Times New Roman" w:eastAsia="Times New Roman" w:hAnsi="Times New Roman" w:cs="Times New Roman"/>
            <w:color w:val="000000"/>
            <w:sz w:val="24"/>
            <w:szCs w:val="24"/>
          </w:rPr>
          <w:t xml:space="preserve">Davies MJ, </w:t>
        </w:r>
        <w:proofErr w:type="spellStart"/>
        <w:r>
          <w:rPr>
            <w:rFonts w:ascii="Times New Roman" w:eastAsia="Times New Roman" w:hAnsi="Times New Roman" w:cs="Times New Roman"/>
            <w:color w:val="000000"/>
            <w:sz w:val="24"/>
            <w:szCs w:val="24"/>
          </w:rPr>
          <w:t>Aroda</w:t>
        </w:r>
        <w:proofErr w:type="spellEnd"/>
        <w:r>
          <w:rPr>
            <w:rFonts w:ascii="Times New Roman" w:eastAsia="Times New Roman" w:hAnsi="Times New Roman" w:cs="Times New Roman"/>
            <w:color w:val="000000"/>
            <w:sz w:val="24"/>
            <w:szCs w:val="24"/>
          </w:rPr>
          <w:t xml:space="preserve"> VR, Collins BS, Gabbay RA, Green J, </w:t>
        </w:r>
        <w:proofErr w:type="spellStart"/>
        <w:r>
          <w:rPr>
            <w:rFonts w:ascii="Times New Roman" w:eastAsia="Times New Roman" w:hAnsi="Times New Roman" w:cs="Times New Roman"/>
            <w:color w:val="000000"/>
            <w:sz w:val="24"/>
            <w:szCs w:val="24"/>
          </w:rPr>
          <w:t>Maruthur</w:t>
        </w:r>
        <w:proofErr w:type="spellEnd"/>
        <w:r>
          <w:rPr>
            <w:rFonts w:ascii="Times New Roman" w:eastAsia="Times New Roman" w:hAnsi="Times New Roman" w:cs="Times New Roman"/>
            <w:color w:val="000000"/>
            <w:sz w:val="24"/>
            <w:szCs w:val="24"/>
          </w:rPr>
          <w:t xml:space="preserve"> NM, et al. Management of hyperglycemia in type 2 diabetes, 2022. A consensus report by the American Diabetes Association (ADA) and the European Association for the Study of diabetes (EASD). Diabetes Care </w:t>
        </w:r>
        <w:proofErr w:type="gramStart"/>
        <w:r>
          <w:rPr>
            <w:rFonts w:ascii="Times New Roman" w:eastAsia="Times New Roman" w:hAnsi="Times New Roman" w:cs="Times New Roman"/>
            <w:color w:val="000000"/>
            <w:sz w:val="24"/>
            <w:szCs w:val="24"/>
          </w:rPr>
          <w:t>2022;45:2753</w:t>
        </w:r>
        <w:proofErr w:type="gramEnd"/>
        <w:r>
          <w:rPr>
            <w:rFonts w:ascii="Times New Roman" w:eastAsia="Times New Roman" w:hAnsi="Times New Roman" w:cs="Times New Roman"/>
            <w:color w:val="000000"/>
            <w:sz w:val="24"/>
            <w:szCs w:val="24"/>
          </w:rPr>
          <w:t>–86.</w:t>
        </w:r>
      </w:hyperlink>
    </w:p>
    <w:p w14:paraId="0000006C" w14:textId="77777777" w:rsidR="005C52CF" w:rsidRDefault="00C36C31">
      <w:pPr>
        <w:widowControl w:val="0"/>
        <w:pBdr>
          <w:top w:val="nil"/>
          <w:left w:val="nil"/>
          <w:bottom w:val="nil"/>
          <w:right w:val="nil"/>
          <w:between w:val="nil"/>
        </w:pBdr>
        <w:spacing w:after="240" w:line="240" w:lineRule="auto"/>
        <w:ind w:left="480" w:hanging="4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[27]</w:t>
      </w:r>
      <w:r>
        <w:rPr>
          <w:rFonts w:ascii="Times New Roman" w:eastAsia="Times New Roman" w:hAnsi="Times New Roman" w:cs="Times New Roman"/>
          <w:color w:val="000000"/>
          <w:sz w:val="24"/>
          <w:szCs w:val="24"/>
        </w:rPr>
        <w:tab/>
      </w:r>
      <w:hyperlink r:id="rId63">
        <w:r>
          <w:rPr>
            <w:rFonts w:ascii="Times New Roman" w:eastAsia="Times New Roman" w:hAnsi="Times New Roman" w:cs="Times New Roman"/>
            <w:color w:val="000000"/>
            <w:sz w:val="24"/>
            <w:szCs w:val="24"/>
          </w:rPr>
          <w:t xml:space="preserve">Cholesterol Treatment Trialists’ Collaboration. Efficacy and safety of statin therapy in older people: a meta-analysis of individual participant data from 28 </w:t>
        </w:r>
        <w:proofErr w:type="spellStart"/>
        <w:r>
          <w:rPr>
            <w:rFonts w:ascii="Times New Roman" w:eastAsia="Times New Roman" w:hAnsi="Times New Roman" w:cs="Times New Roman"/>
            <w:color w:val="000000"/>
            <w:sz w:val="24"/>
            <w:szCs w:val="24"/>
          </w:rPr>
          <w:t>randomised</w:t>
        </w:r>
        <w:proofErr w:type="spellEnd"/>
        <w:r>
          <w:rPr>
            <w:rFonts w:ascii="Times New Roman" w:eastAsia="Times New Roman" w:hAnsi="Times New Roman" w:cs="Times New Roman"/>
            <w:color w:val="000000"/>
            <w:sz w:val="24"/>
            <w:szCs w:val="24"/>
          </w:rPr>
          <w:t xml:space="preserve"> controlled trials. Lancet </w:t>
        </w:r>
        <w:proofErr w:type="gramStart"/>
        <w:r>
          <w:rPr>
            <w:rFonts w:ascii="Times New Roman" w:eastAsia="Times New Roman" w:hAnsi="Times New Roman" w:cs="Times New Roman"/>
            <w:color w:val="000000"/>
            <w:sz w:val="24"/>
            <w:szCs w:val="24"/>
          </w:rPr>
          <w:t>2019;393:407</w:t>
        </w:r>
        <w:proofErr w:type="gramEnd"/>
        <w:r>
          <w:rPr>
            <w:rFonts w:ascii="Times New Roman" w:eastAsia="Times New Roman" w:hAnsi="Times New Roman" w:cs="Times New Roman"/>
            <w:color w:val="000000"/>
            <w:sz w:val="24"/>
            <w:szCs w:val="24"/>
          </w:rPr>
          <w:t>–15.</w:t>
        </w:r>
      </w:hyperlink>
    </w:p>
    <w:sectPr w:rsidR="005C52CF">
      <w:pgSz w:w="12240" w:h="15840"/>
      <w:pgMar w:top="1440" w:right="1440" w:bottom="1440" w:left="1440" w:header="720" w:footer="720" w:gutter="0"/>
      <w:lnNumType w:countBy="1"/>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1" w:subsetted="1" w:fontKey="{A25C34F9-2E8A-486E-BD16-0179809C9606}"/>
  </w:font>
  <w:font w:name="Cardo">
    <w:charset w:val="00"/>
    <w:family w:val="auto"/>
    <w:pitch w:val="default"/>
    <w:embedRegular r:id="rId2" w:fontKey="{7F44954D-04D1-4838-B514-74683B7007EC}"/>
  </w:font>
  <w:font w:name="Calibri">
    <w:panose1 w:val="020F0502020204030204"/>
    <w:charset w:val="00"/>
    <w:family w:val="swiss"/>
    <w:pitch w:val="variable"/>
    <w:sig w:usb0="E4002EFF" w:usb1="C200247B" w:usb2="00000009" w:usb3="00000000" w:csb0="000001FF" w:csb1="00000000"/>
    <w:embedRegular r:id="rId3" w:fontKey="{EACE962E-2A5C-4EAB-9896-EEAAFE5BDC06}"/>
  </w:font>
  <w:font w:name="Cambria">
    <w:panose1 w:val="02040503050406030204"/>
    <w:charset w:val="00"/>
    <w:family w:val="roman"/>
    <w:pitch w:val="variable"/>
    <w:sig w:usb0="E00006FF" w:usb1="420024FF" w:usb2="02000000" w:usb3="00000000" w:csb0="0000019F" w:csb1="00000000"/>
    <w:embedRegular r:id="rId4" w:fontKey="{62F74C13-34BF-42B2-93D5-786086A1FE6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2CF"/>
    <w:rsid w:val="000B5F2A"/>
    <w:rsid w:val="005C52CF"/>
    <w:rsid w:val="00C36C31"/>
    <w:rsid w:val="00D92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8208587"/>
  <w15:docId w15:val="{E5856A7D-D313-44E1-96C1-6036735B3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LineNumber">
    <w:name w:val="line number"/>
    <w:basedOn w:val="DefaultParagraphFont"/>
    <w:uiPriority w:val="99"/>
    <w:semiHidden/>
    <w:unhideWhenUsed/>
    <w:rsid w:val="00D923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paperpile.com/c/IxPFBs/FXr8" TargetMode="External"/><Relationship Id="rId21" Type="http://schemas.openxmlformats.org/officeDocument/2006/relationships/hyperlink" Target="https://paperpile.com/c/IxPFBs/FJup" TargetMode="External"/><Relationship Id="rId34" Type="http://schemas.openxmlformats.org/officeDocument/2006/relationships/hyperlink" Target="https://paperpile.com/c/IxPFBs/EVsd" TargetMode="External"/><Relationship Id="rId42" Type="http://schemas.openxmlformats.org/officeDocument/2006/relationships/hyperlink" Target="http://paperpile.com/b/IxPFBs/vA0G" TargetMode="External"/><Relationship Id="rId47" Type="http://schemas.openxmlformats.org/officeDocument/2006/relationships/hyperlink" Target="http://paperpile.com/b/IxPFBs/lpDr" TargetMode="External"/><Relationship Id="rId50" Type="http://schemas.openxmlformats.org/officeDocument/2006/relationships/hyperlink" Target="http://paperpile.com/b/IxPFBs/JUyj" TargetMode="External"/><Relationship Id="rId55" Type="http://schemas.openxmlformats.org/officeDocument/2006/relationships/hyperlink" Target="http://paperpile.com/b/IxPFBs/fa0V" TargetMode="External"/><Relationship Id="rId63" Type="http://schemas.openxmlformats.org/officeDocument/2006/relationships/hyperlink" Target="http://paperpile.com/b/IxPFBs/EVsd" TargetMode="External"/><Relationship Id="rId7" Type="http://schemas.openxmlformats.org/officeDocument/2006/relationships/hyperlink" Target="https://paperpile.com/c/IxPFBs/Uych" TargetMode="External"/><Relationship Id="rId2" Type="http://schemas.openxmlformats.org/officeDocument/2006/relationships/settings" Target="settings.xml"/><Relationship Id="rId16" Type="http://schemas.openxmlformats.org/officeDocument/2006/relationships/hyperlink" Target="https://paperpile.com/c/IxPFBs/JUyj" TargetMode="External"/><Relationship Id="rId29" Type="http://schemas.openxmlformats.org/officeDocument/2006/relationships/hyperlink" Target="https://paperpile.com/c/IxPFBs/KVbU" TargetMode="External"/><Relationship Id="rId11" Type="http://schemas.openxmlformats.org/officeDocument/2006/relationships/hyperlink" Target="https://paperpile.com/c/IxPFBs/ZemR+EYy4+Z9pW" TargetMode="External"/><Relationship Id="rId24" Type="http://schemas.openxmlformats.org/officeDocument/2006/relationships/hyperlink" Target="https://paperpile.com/c/IxPFBs/Y5SR" TargetMode="External"/><Relationship Id="rId32" Type="http://schemas.openxmlformats.org/officeDocument/2006/relationships/hyperlink" Target="https://paperpile.com/c/IxPFBs/tjsM" TargetMode="External"/><Relationship Id="rId37" Type="http://schemas.openxmlformats.org/officeDocument/2006/relationships/hyperlink" Target="http://paperpile.com/b/IxPFBs/4Amm" TargetMode="External"/><Relationship Id="rId40" Type="http://schemas.openxmlformats.org/officeDocument/2006/relationships/hyperlink" Target="http://paperpile.com/b/IxPFBs/EYy4" TargetMode="External"/><Relationship Id="rId45" Type="http://schemas.openxmlformats.org/officeDocument/2006/relationships/hyperlink" Target="http://paperpile.com/b/IxPFBs/lpDr" TargetMode="External"/><Relationship Id="rId53" Type="http://schemas.openxmlformats.org/officeDocument/2006/relationships/hyperlink" Target="http://paperpile.com/b/IxPFBs/9cK9" TargetMode="External"/><Relationship Id="rId58" Type="http://schemas.openxmlformats.org/officeDocument/2006/relationships/hyperlink" Target="http://paperpile.com/b/IxPFBs/FXr8" TargetMode="External"/><Relationship Id="rId5" Type="http://schemas.openxmlformats.org/officeDocument/2006/relationships/hyperlink" Target="https://paperpile.com/c/IxPFBs/9dCJ" TargetMode="External"/><Relationship Id="rId61" Type="http://schemas.openxmlformats.org/officeDocument/2006/relationships/hyperlink" Target="http://paperpile.com/b/IxPFBs/tjsM" TargetMode="External"/><Relationship Id="rId19" Type="http://schemas.openxmlformats.org/officeDocument/2006/relationships/hyperlink" Target="https://paperpile.com/c/IxPFBs/zAVX" TargetMode="External"/><Relationship Id="rId14" Type="http://schemas.openxmlformats.org/officeDocument/2006/relationships/hyperlink" Target="https://paperpile.com/c/IxPFBs/0wmb" TargetMode="External"/><Relationship Id="rId22" Type="http://schemas.openxmlformats.org/officeDocument/2006/relationships/hyperlink" Target="https://paperpile.com/c/IxPFBs/fa0V" TargetMode="External"/><Relationship Id="rId27" Type="http://schemas.openxmlformats.org/officeDocument/2006/relationships/hyperlink" Target="https://paperpile.com/c/IxPFBs/fFos" TargetMode="External"/><Relationship Id="rId30" Type="http://schemas.openxmlformats.org/officeDocument/2006/relationships/hyperlink" Target="https://paperpile.com/c/IxPFBs/FFaZ" TargetMode="External"/><Relationship Id="rId35" Type="http://schemas.openxmlformats.org/officeDocument/2006/relationships/hyperlink" Target="http://paperpile.com/b/IxPFBs/mUN1" TargetMode="External"/><Relationship Id="rId43" Type="http://schemas.openxmlformats.org/officeDocument/2006/relationships/hyperlink" Target="http://paperpile.com/b/IxPFBs/KVbU" TargetMode="External"/><Relationship Id="rId48" Type="http://schemas.openxmlformats.org/officeDocument/2006/relationships/hyperlink" Target="http://paperpile.com/b/IxPFBs/0wmb" TargetMode="External"/><Relationship Id="rId56" Type="http://schemas.openxmlformats.org/officeDocument/2006/relationships/hyperlink" Target="http://paperpile.com/b/IxPFBs/wVXJ" TargetMode="External"/><Relationship Id="rId64" Type="http://schemas.openxmlformats.org/officeDocument/2006/relationships/fontTable" Target="fontTable.xml"/><Relationship Id="rId8" Type="http://schemas.openxmlformats.org/officeDocument/2006/relationships/hyperlink" Target="https://paperpile.com/c/IxPFBs/ZemR+EYy4+Z9pW" TargetMode="External"/><Relationship Id="rId51" Type="http://schemas.openxmlformats.org/officeDocument/2006/relationships/hyperlink" Target="http://paperpile.com/b/IxPFBs/XSYC" TargetMode="External"/><Relationship Id="rId3" Type="http://schemas.openxmlformats.org/officeDocument/2006/relationships/webSettings" Target="webSettings.xml"/><Relationship Id="rId12" Type="http://schemas.openxmlformats.org/officeDocument/2006/relationships/hyperlink" Target="https://paperpile.com/c/IxPFBs/ZemR+EYy4+Z9pW" TargetMode="External"/><Relationship Id="rId17" Type="http://schemas.openxmlformats.org/officeDocument/2006/relationships/hyperlink" Target="https://paperpile.com/c/IxPFBs/jPrb" TargetMode="External"/><Relationship Id="rId25" Type="http://schemas.openxmlformats.org/officeDocument/2006/relationships/hyperlink" Target="https://paperpile.com/c/IxPFBs/ZemR+EYy4+lpDr" TargetMode="External"/><Relationship Id="rId33" Type="http://schemas.openxmlformats.org/officeDocument/2006/relationships/hyperlink" Target="https://paperpile.com/c/IxPFBs/4EY0" TargetMode="External"/><Relationship Id="rId38" Type="http://schemas.openxmlformats.org/officeDocument/2006/relationships/hyperlink" Target="http://paperpile.com/b/IxPFBs/Uych" TargetMode="External"/><Relationship Id="rId46" Type="http://schemas.openxmlformats.org/officeDocument/2006/relationships/hyperlink" Target="http://dx.doi.org/10.1161/cir.0000000000000625" TargetMode="External"/><Relationship Id="rId59" Type="http://schemas.openxmlformats.org/officeDocument/2006/relationships/hyperlink" Target="http://paperpile.com/b/IxPFBs/fFos" TargetMode="External"/><Relationship Id="rId20" Type="http://schemas.openxmlformats.org/officeDocument/2006/relationships/hyperlink" Target="https://paperpile.com/c/IxPFBs/9cK9" TargetMode="External"/><Relationship Id="rId41" Type="http://schemas.openxmlformats.org/officeDocument/2006/relationships/hyperlink" Target="http://paperpile.com/b/IxPFBs/Z9pW" TargetMode="External"/><Relationship Id="rId54" Type="http://schemas.openxmlformats.org/officeDocument/2006/relationships/hyperlink" Target="http://paperpile.com/b/IxPFBs/FJup" TargetMode="External"/><Relationship Id="rId62" Type="http://schemas.openxmlformats.org/officeDocument/2006/relationships/hyperlink" Target="http://paperpile.com/b/IxPFBs/4EY0" TargetMode="External"/><Relationship Id="rId1" Type="http://schemas.openxmlformats.org/officeDocument/2006/relationships/styles" Target="styles.xml"/><Relationship Id="rId6" Type="http://schemas.openxmlformats.org/officeDocument/2006/relationships/hyperlink" Target="https://paperpile.com/c/IxPFBs/4Amm" TargetMode="External"/><Relationship Id="rId15" Type="http://schemas.openxmlformats.org/officeDocument/2006/relationships/hyperlink" Target="https://paperpile.com/c/IxPFBs/jPrb" TargetMode="External"/><Relationship Id="rId23" Type="http://schemas.openxmlformats.org/officeDocument/2006/relationships/hyperlink" Target="https://paperpile.com/c/IxPFBs/wVXJ" TargetMode="External"/><Relationship Id="rId28" Type="http://schemas.openxmlformats.org/officeDocument/2006/relationships/hyperlink" Target="https://paperpile.com/c/IxPFBs/vA0G" TargetMode="External"/><Relationship Id="rId36" Type="http://schemas.openxmlformats.org/officeDocument/2006/relationships/hyperlink" Target="http://paperpile.com/b/IxPFBs/9dCJ" TargetMode="External"/><Relationship Id="rId49" Type="http://schemas.openxmlformats.org/officeDocument/2006/relationships/hyperlink" Target="http://paperpile.com/b/IxPFBs/jPrb" TargetMode="External"/><Relationship Id="rId57" Type="http://schemas.openxmlformats.org/officeDocument/2006/relationships/hyperlink" Target="http://paperpile.com/b/IxPFBs/Y5SR" TargetMode="External"/><Relationship Id="rId10" Type="http://schemas.openxmlformats.org/officeDocument/2006/relationships/hyperlink" Target="https://paperpile.com/c/IxPFBs/lpDr" TargetMode="External"/><Relationship Id="rId31" Type="http://schemas.openxmlformats.org/officeDocument/2006/relationships/hyperlink" Target="https://paperpile.com/c/IxPFBs/jPrb" TargetMode="External"/><Relationship Id="rId44" Type="http://schemas.openxmlformats.org/officeDocument/2006/relationships/hyperlink" Target="http://paperpile.com/b/IxPFBs/Sks4" TargetMode="External"/><Relationship Id="rId52" Type="http://schemas.openxmlformats.org/officeDocument/2006/relationships/hyperlink" Target="http://paperpile.com/b/IxPFBs/zAVX" TargetMode="External"/><Relationship Id="rId60" Type="http://schemas.openxmlformats.org/officeDocument/2006/relationships/hyperlink" Target="http://paperpile.com/b/IxPFBs/FFaZ" TargetMode="External"/><Relationship Id="rId65" Type="http://schemas.openxmlformats.org/officeDocument/2006/relationships/theme" Target="theme/theme1.xml"/><Relationship Id="rId4" Type="http://schemas.openxmlformats.org/officeDocument/2006/relationships/hyperlink" Target="https://paperpile.com/c/IxPFBs/mUN1" TargetMode="External"/><Relationship Id="rId9" Type="http://schemas.openxmlformats.org/officeDocument/2006/relationships/hyperlink" Target="https://paperpile.com/c/IxPFBs/vA0G+KVbU+Sks4" TargetMode="External"/><Relationship Id="rId13" Type="http://schemas.openxmlformats.org/officeDocument/2006/relationships/hyperlink" Target="https://paperpile.com/c/IxPFBs/vA0G+KVbU+Sks4" TargetMode="External"/><Relationship Id="rId18" Type="http://schemas.openxmlformats.org/officeDocument/2006/relationships/hyperlink" Target="https://paperpile.com/c/IxPFBs/XSYC" TargetMode="External"/><Relationship Id="rId39" Type="http://schemas.openxmlformats.org/officeDocument/2006/relationships/hyperlink" Target="http://paperpile.com/b/IxPFBs/Zem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4453</Words>
  <Characters>27790</Characters>
  <Application>Microsoft Office Word</Application>
  <DocSecurity>0</DocSecurity>
  <Lines>1029</Lines>
  <Paragraphs>749</Paragraphs>
  <ScaleCrop>false</ScaleCrop>
  <Company/>
  <LinksUpToDate>false</LinksUpToDate>
  <CharactersWithSpaces>31494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Willeford, Molly</dc:creator>
  <cp:lastModifiedBy>Willeford, Molly</cp:lastModifiedBy>
  <cp:revision>3</cp:revision>
  <dcterms:created xsi:type="dcterms:W3CDTF">2026-05-11T16:53:00Z</dcterms:created>
  <dcterms:modified xsi:type="dcterms:W3CDTF">2026-05-11T16:54:00Z</dcterms:modified>
</cp:coreProperties>
</file>